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media/image2.wmf" ContentType="image/x-wmf"/>
  <Override PartName="/word/media/image1.wmf" ContentType="image/x-wmf"/>
  <Override PartName="/word/media/image3.wmf" ContentType="image/x-wmf"/>
  <Override PartName="/word/media/image4.wmf" ContentType="image/x-wmf"/>
  <Override PartName="/word/media/image6.wmf" ContentType="image/x-wmf"/>
  <Override PartName="/word/media/image5.wmf" ContentType="image/x-wmf"/>
  <Override PartName="/word/media/image7.wmf" ContentType="image/x-wmf"/>
  <Override PartName="/word/media/image8.wmf" ContentType="image/x-wmf"/>
  <Override PartName="/word/media/image9.wmf" ContentType="image/x-wmf"/>
  <Override PartName="/word/media/image10.png" ContentType="image/png"/>
  <Override PartName="/word/media/image14.wmf" ContentType="image/x-wmf"/>
  <Override PartName="/word/media/image13.wmf" ContentType="image/x-wmf"/>
  <Override PartName="/word/media/image11.wmf" ContentType="image/x-wmf"/>
  <Override PartName="/word/media/image16.wmf" ContentType="image/x-wmf"/>
  <Override PartName="/word/media/image15.wmf" ContentType="image/x-wmf"/>
  <Override PartName="/word/media/image17.wmf" ContentType="image/x-wmf"/>
  <Override PartName="/word/media/image18.wmf" ContentType="image/x-wmf"/>
  <Override PartName="/word/media/image19.wmf" ContentType="image/x-wmf"/>
  <Override PartName="/word/media/image12.wmf" ContentType="image/x-wmf"/>
  <Override PartName="/word/footer2.xml" ContentType="application/vnd.openxmlformats-officedocument.wordprocessingml.footer+xml"/>
  <Override PartName="/word/embeddings/oleObject2.bin" ContentType="application/vnd.openxmlformats-officedocument.oleObject"/>
  <Override PartName="/word/embeddings/oleObject1.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6.bin" ContentType="application/vnd.openxmlformats-officedocument.oleObject"/>
  <Override PartName="/word/embeddings/oleObject5.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6.bin" ContentType="application/vnd.openxmlformats-officedocument.oleObject"/>
  <Override PartName="/word/embeddings/oleObject15.bin" ContentType="application/vnd.openxmlformats-officedocument.oleObject"/>
  <Override PartName="/word/embeddings/oleObject18.bin" ContentType="application/vnd.openxmlformats-officedocument.oleObject"/>
  <Override PartName="/word/embeddings/oleObject17.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Override PartName="/word/footer1.xml" ContentType="application/vnd.openxmlformats-officedocument.wordprocessingml.footer+xml"/>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center"/>
        <w:rPr>
          <w:b/>
          <w:b/>
          <w:sz w:val="48"/>
          <w:szCs w:val="48"/>
        </w:rPr>
      </w:pPr>
      <w:r>
        <w:rPr>
          <w:b/>
          <w:sz w:val="48"/>
          <w:szCs w:val="48"/>
        </w:rPr>
        <w:t>Руководство пользователя</w:t>
      </w:r>
    </w:p>
    <w:p>
      <w:pPr>
        <w:pStyle w:val="Normal"/>
        <w:spacing w:lineRule="auto" w:line="360"/>
        <w:jc w:val="center"/>
        <w:rPr>
          <w:b/>
          <w:b/>
          <w:sz w:val="28"/>
          <w:szCs w:val="28"/>
          <w:lang w:val="ru-RU" w:eastAsia="ru-RU"/>
        </w:rPr>
      </w:pPr>
      <w:r>
        <w:rPr>
          <w:b/>
          <w:sz w:val="28"/>
          <w:szCs w:val="28"/>
          <w:lang w:val="ru-RU" w:eastAsia="ru-RU"/>
        </w:rPr>
        <mc:AlternateContent>
          <mc:Choice Requires="wps">
            <w:drawing>
              <wp:anchor behindDoc="0" distT="4445" distB="4445" distL="119380" distR="119380" simplePos="0" locked="0" layoutInCell="0" allowOverlap="1" relativeHeight="24">
                <wp:simplePos x="0" y="0"/>
                <wp:positionH relativeFrom="column">
                  <wp:posOffset>-685800</wp:posOffset>
                </wp:positionH>
                <wp:positionV relativeFrom="paragraph">
                  <wp:posOffset>160020</wp:posOffset>
                </wp:positionV>
                <wp:extent cx="7315835" cy="635"/>
                <wp:effectExtent l="0" t="0" r="0" b="0"/>
                <wp:wrapNone/>
                <wp:docPr id="1" name=""/>
                <a:graphic xmlns:a="http://schemas.openxmlformats.org/drawingml/2006/main">
                  <a:graphicData uri="http://schemas.microsoft.com/office/word/2010/wordprocessingShape">
                    <wps:wsp>
                      <wps:cNvSpPr/>
                      <wps:spPr>
                        <a:xfrm>
                          <a:off x="0" y="0"/>
                          <a:ext cx="7315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4pt,12.6pt" to="521.95pt,12.6pt" stroked="t" o:allowincell="f" style="position:absolute">
                <v:stroke color="black" weight="9360" joinstyle="miter" endcap="flat"/>
                <v:fill o:detectmouseclick="t" on="false"/>
                <w10:wrap type="none"/>
              </v:line>
            </w:pict>
          </mc:Fallback>
        </mc:AlternateContent>
      </w:r>
    </w:p>
    <w:p>
      <w:pPr>
        <w:pStyle w:val="Normal"/>
        <w:spacing w:lineRule="auto" w:line="360"/>
        <w:jc w:val="center"/>
        <w:rPr>
          <w:b/>
          <w:b/>
          <w:sz w:val="72"/>
          <w:szCs w:val="72"/>
        </w:rPr>
      </w:pPr>
      <w:r>
        <w:rPr>
          <w:b/>
          <w:sz w:val="72"/>
          <w:szCs w:val="72"/>
        </w:rPr>
      </w:r>
    </w:p>
    <w:p>
      <w:pPr>
        <w:pStyle w:val="Normal"/>
        <w:spacing w:before="0" w:after="480"/>
        <w:jc w:val="center"/>
        <w:rPr>
          <w:b/>
          <w:b/>
          <w:sz w:val="72"/>
          <w:szCs w:val="72"/>
        </w:rPr>
      </w:pPr>
      <w:r>
        <w:rPr>
          <w:b/>
          <w:sz w:val="72"/>
          <w:szCs w:val="72"/>
        </w:rPr>
        <w:t>Система проектирования и оптимизации вскрытия рудных залежей АО «Хиагда»</w:t>
      </w:r>
    </w:p>
    <w:p>
      <w:pPr>
        <w:pStyle w:val="Normal"/>
        <w:spacing w:lineRule="auto" w:line="360"/>
        <w:jc w:val="center"/>
        <w:rPr>
          <w:b/>
          <w:b/>
          <w:sz w:val="40"/>
          <w:szCs w:val="40"/>
        </w:rPr>
      </w:pPr>
      <w:r>
        <w:rPr>
          <w:b/>
          <w:sz w:val="40"/>
          <w:szCs w:val="40"/>
        </w:rPr>
      </w:r>
    </w:p>
    <w:p>
      <w:pPr>
        <w:pStyle w:val="Normal"/>
        <w:spacing w:lineRule="auto" w:line="360"/>
        <w:jc w:val="center"/>
        <w:rPr>
          <w:b/>
          <w:b/>
          <w:sz w:val="40"/>
          <w:szCs w:val="40"/>
          <w:lang w:val="ru-RU" w:eastAsia="ru-RU"/>
        </w:rPr>
      </w:pPr>
      <w:r>
        <w:rPr>
          <w:b/>
          <w:sz w:val="40"/>
          <w:szCs w:val="40"/>
          <w:lang w:val="ru-RU" w:eastAsia="ru-RU"/>
        </w:rPr>
        <mc:AlternateContent>
          <mc:Choice Requires="wps">
            <w:drawing>
              <wp:anchor behindDoc="0" distT="4445" distB="4445" distL="119380" distR="119380" simplePos="0" locked="0" layoutInCell="0" allowOverlap="1" relativeHeight="26">
                <wp:simplePos x="0" y="0"/>
                <wp:positionH relativeFrom="column">
                  <wp:posOffset>571500</wp:posOffset>
                </wp:positionH>
                <wp:positionV relativeFrom="paragraph">
                  <wp:posOffset>13970</wp:posOffset>
                </wp:positionV>
                <wp:extent cx="4686935" cy="635"/>
                <wp:effectExtent l="0" t="0" r="0" b="0"/>
                <wp:wrapNone/>
                <wp:docPr id="2" name=""/>
                <a:graphic xmlns:a="http://schemas.openxmlformats.org/drawingml/2006/main">
                  <a:graphicData uri="http://schemas.microsoft.com/office/word/2010/wordprocessingShape">
                    <wps:wsp>
                      <wps:cNvSpPr/>
                      <wps:spPr>
                        <a:xfrm>
                          <a:off x="0" y="0"/>
                          <a:ext cx="46864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45pt,1.1pt" to="413.95pt,1.1pt" stroked="t" o:allowincell="f" style="position:absolute">
                <v:stroke color="black" weight="9360" joinstyle="miter" endcap="flat"/>
                <v:fill o:detectmouseclick="t" on="false"/>
                <w10:wrap type="none"/>
              </v:line>
            </w:pict>
          </mc:Fallback>
        </mc:AlternateContent>
      </w:r>
    </w:p>
    <w:p>
      <w:pPr>
        <w:pStyle w:val="Normal"/>
        <w:spacing w:lineRule="auto" w:line="360"/>
        <w:jc w:val="center"/>
        <w:rPr>
          <w:b/>
          <w:b/>
          <w:sz w:val="40"/>
          <w:szCs w:val="40"/>
        </w:rPr>
      </w:pPr>
      <w:r>
        <w:rPr>
          <w:b/>
          <w:sz w:val="40"/>
          <w:szCs w:val="40"/>
        </w:rPr>
      </w:r>
    </w:p>
    <w:p>
      <w:pPr>
        <w:pStyle w:val="Normal"/>
        <w:spacing w:lineRule="auto" w:line="360"/>
        <w:jc w:val="center"/>
        <w:rPr>
          <w:b/>
          <w:b/>
          <w:sz w:val="40"/>
          <w:szCs w:val="40"/>
        </w:rPr>
      </w:pPr>
      <w:r>
        <w:rPr>
          <w:b/>
          <w:sz w:val="40"/>
          <w:szCs w:val="40"/>
        </w:rPr>
      </w:r>
    </w:p>
    <w:p>
      <w:pPr>
        <w:pStyle w:val="Normal"/>
        <w:spacing w:lineRule="auto" w:line="360"/>
        <w:jc w:val="center"/>
        <w:rPr>
          <w:b/>
          <w:b/>
          <w:sz w:val="40"/>
          <w:szCs w:val="40"/>
        </w:rPr>
      </w:pPr>
      <w:r>
        <w:rPr>
          <w:b/>
          <w:sz w:val="40"/>
          <w:szCs w:val="40"/>
        </w:rPr>
      </w:r>
    </w:p>
    <w:p>
      <w:pPr>
        <w:pStyle w:val="Normal"/>
        <w:spacing w:lineRule="auto" w:line="360"/>
        <w:jc w:val="center"/>
        <w:rPr>
          <w:b/>
          <w:b/>
          <w:sz w:val="40"/>
          <w:szCs w:val="40"/>
        </w:rPr>
      </w:pPr>
      <w:r>
        <w:rPr>
          <w:b/>
          <w:sz w:val="40"/>
          <w:szCs w:val="40"/>
        </w:rPr>
      </w:r>
    </w:p>
    <w:p>
      <w:pPr>
        <w:pStyle w:val="Normal"/>
        <w:spacing w:lineRule="auto" w:line="360"/>
        <w:jc w:val="center"/>
        <w:rPr>
          <w:b/>
          <w:b/>
          <w:sz w:val="40"/>
          <w:szCs w:val="40"/>
        </w:rPr>
      </w:pPr>
      <w:r>
        <w:rPr>
          <w:b/>
          <w:sz w:val="40"/>
          <w:szCs w:val="40"/>
        </w:rPr>
      </w:r>
    </w:p>
    <w:p>
      <w:pPr>
        <w:pStyle w:val="Normal"/>
        <w:spacing w:lineRule="auto" w:line="360"/>
        <w:jc w:val="center"/>
        <w:rPr>
          <w:b/>
          <w:b/>
          <w:sz w:val="40"/>
          <w:szCs w:val="40"/>
        </w:rPr>
      </w:pPr>
      <w:r>
        <w:rPr>
          <w:b/>
          <w:sz w:val="40"/>
          <w:szCs w:val="40"/>
        </w:rPr>
        <w:t>1.00. 6</w:t>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jc w:val="center"/>
        <w:rPr>
          <w:b/>
          <w:b/>
          <w:sz w:val="28"/>
          <w:szCs w:val="28"/>
        </w:rPr>
      </w:pPr>
      <w:r>
        <w:rPr>
          <w:b/>
          <w:sz w:val="28"/>
          <w:szCs w:val="28"/>
        </w:rPr>
      </w:r>
    </w:p>
    <w:p>
      <w:pPr>
        <w:pStyle w:val="Normal"/>
        <w:spacing w:lineRule="auto" w:line="360"/>
        <w:rPr>
          <w:b/>
          <w:b/>
          <w:sz w:val="28"/>
          <w:szCs w:val="28"/>
        </w:rPr>
      </w:pPr>
      <w:r>
        <w:rPr>
          <w:b/>
          <w:sz w:val="28"/>
          <w:szCs w:val="28"/>
        </w:rPr>
      </w:r>
    </w:p>
    <w:p>
      <w:pPr>
        <w:pStyle w:val="Normal"/>
        <w:jc w:val="center"/>
        <w:rPr>
          <w:b/>
          <w:b/>
          <w:sz w:val="28"/>
          <w:szCs w:val="28"/>
          <w:lang w:val="ru-RU" w:eastAsia="ru-RU"/>
        </w:rPr>
      </w:pPr>
      <w:r>
        <w:rPr>
          <w:b/>
          <w:sz w:val="28"/>
          <w:szCs w:val="28"/>
          <w:lang w:val="ru-RU" w:eastAsia="ru-RU"/>
        </w:rPr>
        <mc:AlternateContent>
          <mc:Choice Requires="wps">
            <w:drawing>
              <wp:anchor behindDoc="0" distT="4445" distB="4445" distL="119380" distR="119380" simplePos="0" locked="0" layoutInCell="0" allowOverlap="1" relativeHeight="25">
                <wp:simplePos x="0" y="0"/>
                <wp:positionH relativeFrom="column">
                  <wp:posOffset>-685800</wp:posOffset>
                </wp:positionH>
                <wp:positionV relativeFrom="paragraph">
                  <wp:posOffset>55880</wp:posOffset>
                </wp:positionV>
                <wp:extent cx="7315835" cy="635"/>
                <wp:effectExtent l="0" t="0" r="0" b="0"/>
                <wp:wrapNone/>
                <wp:docPr id="3" name=""/>
                <a:graphic xmlns:a="http://schemas.openxmlformats.org/drawingml/2006/main">
                  <a:graphicData uri="http://schemas.microsoft.com/office/word/2010/wordprocessingShape">
                    <wps:wsp>
                      <wps:cNvSpPr/>
                      <wps:spPr>
                        <a:xfrm>
                          <a:off x="0" y="0"/>
                          <a:ext cx="73152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4pt,4.4pt" to="521.95pt,4.4pt" stroked="t" o:allowincell="f" style="position:absolute">
                <v:stroke color="black" weight="9360" joinstyle="miter" endcap="flat"/>
                <v:fill o:detectmouseclick="t" on="false"/>
                <w10:wrap type="none"/>
              </v:line>
            </w:pict>
          </mc:Fallback>
        </mc:AlternateContent>
      </w:r>
    </w:p>
    <w:p>
      <w:pPr>
        <w:sectPr>
          <w:footerReference w:type="default" r:id="rId2"/>
          <w:type w:val="nextPage"/>
          <w:pgSz w:w="11906" w:h="16838"/>
          <w:pgMar w:left="1418" w:right="567" w:gutter="0" w:header="0" w:top="1134" w:footer="567" w:bottom="1134"/>
          <w:pgNumType w:start="1" w:fmt="decimal"/>
          <w:formProt w:val="false"/>
          <w:textDirection w:val="lrTb"/>
          <w:docGrid w:type="default" w:linePitch="360" w:charSpace="0"/>
        </w:sectPr>
        <w:pStyle w:val="Normal"/>
        <w:jc w:val="center"/>
        <w:rPr>
          <w:b/>
          <w:b/>
          <w:sz w:val="28"/>
          <w:szCs w:val="28"/>
        </w:rPr>
      </w:pPr>
      <w:r>
        <w:rPr>
          <w:b/>
          <w:sz w:val="28"/>
          <w:szCs w:val="28"/>
        </w:rPr>
        <w:t>2018</w:t>
      </w:r>
    </w:p>
    <w:p>
      <w:pPr>
        <w:pStyle w:val="Normal"/>
        <w:jc w:val="center"/>
        <w:rPr>
          <w:b/>
          <w:b/>
          <w:sz w:val="28"/>
          <w:szCs w:val="28"/>
        </w:rPr>
      </w:pPr>
      <w:r>
        <w:rPr>
          <w:b/>
          <w:sz w:val="28"/>
          <w:szCs w:val="28"/>
        </w:rPr>
        <w:t>Содержание</w:t>
      </w:r>
    </w:p>
    <w:p>
      <w:pPr>
        <w:pStyle w:val="Normal"/>
        <w:spacing w:lineRule="auto" w:line="360"/>
        <w:jc w:val="center"/>
        <w:rPr>
          <w:b/>
          <w:b/>
          <w:sz w:val="28"/>
          <w:szCs w:val="28"/>
        </w:rPr>
      </w:pPr>
      <w:r>
        <w:rPr>
          <w:b/>
          <w:sz w:val="28"/>
          <w:szCs w:val="28"/>
        </w:rPr>
      </w:r>
    </w:p>
    <w:sdt>
      <w:sdtPr>
        <w:docPartObj>
          <w:docPartGallery w:val="Table of Contents"/>
          <w:docPartUnique w:val="true"/>
        </w:docPartObj>
      </w:sdtPr>
      <w:sdtContent>
        <w:p>
          <w:pPr>
            <w:pStyle w:val="13"/>
            <w:spacing w:lineRule="auto" w:line="360"/>
            <w:rPr>
              <w:rFonts w:ascii="Calibri" w:hAnsi="Calibri" w:cs="Calibri"/>
              <w:sz w:val="22"/>
              <w:szCs w:val="22"/>
              <w:lang w:val="ru-RU" w:eastAsia="ru-RU"/>
            </w:rPr>
          </w:pPr>
          <w:r>
            <w:fldChar w:fldCharType="begin"/>
          </w:r>
          <w:r>
            <w:rPr>
              <w:rStyle w:val="IndexLink"/>
              <w:caps/>
              <w:lang w:val="ru-RU" w:eastAsia="ru-RU"/>
            </w:rPr>
            <w:instrText> TOC \o "1-3" \h \z \u </w:instrText>
          </w:r>
          <w:r>
            <w:rPr>
              <w:rStyle w:val="IndexLink"/>
              <w:caps/>
              <w:lang w:val="ru-RU" w:eastAsia="ru-RU"/>
            </w:rPr>
            <w:fldChar w:fldCharType="separate"/>
          </w:r>
          <w:hyperlink w:anchor="__RefHeading___Toc530495731">
            <w:r>
              <w:rPr>
                <w:rStyle w:val="IndexLink"/>
                <w:caps/>
                <w:lang w:val="ru-RU" w:eastAsia="ru-RU"/>
              </w:rPr>
              <w:t xml:space="preserve">1 </w:t>
            </w:r>
            <w:r>
              <w:rPr>
                <w:rStyle w:val="IndexLink"/>
                <w:lang w:val="ru-RU" w:eastAsia="ru-RU"/>
              </w:rPr>
              <w:t>Программное обеспечение для оптимизации и планирования горных работ</w:t>
              <w:tab/>
              <w:t>3</w:t>
            </w:r>
          </w:hyperlink>
        </w:p>
        <w:p>
          <w:pPr>
            <w:pStyle w:val="21"/>
            <w:rPr>
              <w:rFonts w:ascii="Calibri" w:hAnsi="Calibri" w:cs="Calibri"/>
              <w:sz w:val="22"/>
              <w:szCs w:val="22"/>
              <w:lang w:val="ru-RU" w:eastAsia="ru-RU"/>
            </w:rPr>
          </w:pPr>
          <w:hyperlink w:anchor="__RefHeading___Toc530495732">
            <w:r>
              <w:rPr>
                <w:rStyle w:val="IndexLink"/>
                <w:lang w:val="ru-RU" w:eastAsia="ru-RU"/>
              </w:rPr>
              <w:t>1.1   Общие сведения</w:t>
              <w:tab/>
              <w:t>3</w:t>
            </w:r>
          </w:hyperlink>
        </w:p>
        <w:p>
          <w:pPr>
            <w:pStyle w:val="21"/>
            <w:rPr>
              <w:rFonts w:ascii="Calibri" w:hAnsi="Calibri" w:cs="Calibri"/>
              <w:sz w:val="22"/>
              <w:szCs w:val="22"/>
              <w:lang w:val="ru-RU" w:eastAsia="ru-RU"/>
            </w:rPr>
          </w:pPr>
          <w:hyperlink w:anchor="__RefHeading___Toc530495733">
            <w:r>
              <w:rPr>
                <w:rStyle w:val="IndexLink"/>
                <w:lang w:val="ru-RU" w:eastAsia="ru-RU"/>
              </w:rPr>
              <w:t>1.2   Структура главного окна программы</w:t>
              <w:tab/>
              <w:t>5</w:t>
            </w:r>
          </w:hyperlink>
        </w:p>
        <w:p>
          <w:pPr>
            <w:pStyle w:val="21"/>
            <w:rPr>
              <w:rFonts w:ascii="Calibri" w:hAnsi="Calibri" w:cs="Calibri"/>
              <w:sz w:val="22"/>
              <w:szCs w:val="22"/>
              <w:lang w:val="ru-RU" w:eastAsia="ru-RU"/>
            </w:rPr>
          </w:pPr>
          <w:hyperlink w:anchor="__RefHeading___Toc530495734">
            <w:r>
              <w:rPr>
                <w:rStyle w:val="IndexLink"/>
                <w:lang w:val="ru-RU" w:eastAsia="ru-RU"/>
              </w:rPr>
              <w:t>1.3     Импорт геолого-математических моделей</w:t>
              <w:tab/>
              <w:t>7</w:t>
            </w:r>
          </w:hyperlink>
        </w:p>
        <w:p>
          <w:pPr>
            <w:pStyle w:val="21"/>
            <w:rPr>
              <w:rFonts w:ascii="Calibri" w:hAnsi="Calibri" w:cs="Calibri"/>
              <w:sz w:val="22"/>
              <w:szCs w:val="22"/>
              <w:lang w:val="ru-RU" w:eastAsia="ru-RU"/>
            </w:rPr>
          </w:pPr>
          <w:hyperlink w:anchor="__RefHeading___Toc530495735">
            <w:r>
              <w:rPr>
                <w:rStyle w:val="IndexLink"/>
                <w:lang w:val="ru-RU" w:eastAsia="ru-RU"/>
              </w:rPr>
              <w:t>1.4     Настройка отображения распределений физических величин</w:t>
              <w:tab/>
              <w:t>9</w:t>
            </w:r>
          </w:hyperlink>
        </w:p>
        <w:p>
          <w:pPr>
            <w:pStyle w:val="21"/>
            <w:rPr>
              <w:rFonts w:ascii="Calibri" w:hAnsi="Calibri" w:cs="Calibri"/>
              <w:sz w:val="22"/>
              <w:szCs w:val="22"/>
              <w:lang w:val="ru-RU" w:eastAsia="ru-RU"/>
            </w:rPr>
          </w:pPr>
          <w:hyperlink w:anchor="__RefHeading___Toc530495736">
            <w:r>
              <w:rPr>
                <w:rStyle w:val="IndexLink"/>
                <w:lang w:val="ru-RU" w:eastAsia="ru-RU"/>
              </w:rPr>
              <w:t>1.5     Построение контура области вскрытия</w:t>
              <w:tab/>
              <w:t>11</w:t>
            </w:r>
          </w:hyperlink>
        </w:p>
        <w:p>
          <w:pPr>
            <w:pStyle w:val="21"/>
            <w:rPr>
              <w:rFonts w:ascii="Calibri" w:hAnsi="Calibri" w:cs="Calibri"/>
              <w:sz w:val="22"/>
              <w:szCs w:val="22"/>
              <w:lang w:val="ru-RU" w:eastAsia="ru-RU"/>
            </w:rPr>
          </w:pPr>
          <w:hyperlink w:anchor="__RefHeading___Toc530495737">
            <w:r>
              <w:rPr>
                <w:rStyle w:val="IndexLink"/>
                <w:lang w:val="ru-RU" w:eastAsia="ru-RU"/>
              </w:rPr>
              <w:t>1.6     Свойства геологического блока</w:t>
              <w:tab/>
              <w:t>12</w:t>
            </w:r>
          </w:hyperlink>
        </w:p>
        <w:p>
          <w:pPr>
            <w:pStyle w:val="21"/>
            <w:rPr>
              <w:rFonts w:ascii="Calibri" w:hAnsi="Calibri" w:cs="Calibri"/>
              <w:sz w:val="22"/>
              <w:szCs w:val="22"/>
              <w:lang w:val="ru-RU" w:eastAsia="ru-RU"/>
            </w:rPr>
          </w:pPr>
          <w:hyperlink w:anchor="__RefHeading___Toc530495738">
            <w:r>
              <w:rPr>
                <w:rStyle w:val="IndexLink"/>
                <w:lang w:val="ru-RU" w:eastAsia="ru-RU"/>
              </w:rPr>
              <w:t>1.7     Построение осевой линии контура</w:t>
              <w:tab/>
              <w:t>13</w:t>
            </w:r>
          </w:hyperlink>
        </w:p>
        <w:p>
          <w:pPr>
            <w:pStyle w:val="21"/>
            <w:rPr>
              <w:rFonts w:ascii="Calibri" w:hAnsi="Calibri" w:cs="Calibri"/>
              <w:sz w:val="22"/>
              <w:szCs w:val="22"/>
              <w:lang w:val="ru-RU" w:eastAsia="ru-RU"/>
            </w:rPr>
          </w:pPr>
          <w:hyperlink w:anchor="__RefHeading___Toc530495739">
            <w:r>
              <w:rPr>
                <w:rStyle w:val="IndexLink"/>
                <w:lang w:val="ru-RU" w:eastAsia="ru-RU"/>
              </w:rPr>
              <w:t>1.8     Создание эксплуатационного блока</w:t>
              <w:tab/>
              <w:t>14</w:t>
            </w:r>
          </w:hyperlink>
        </w:p>
        <w:p>
          <w:pPr>
            <w:pStyle w:val="21"/>
            <w:rPr>
              <w:rFonts w:ascii="Calibri" w:hAnsi="Calibri" w:cs="Calibri"/>
              <w:sz w:val="22"/>
              <w:szCs w:val="22"/>
              <w:lang w:val="ru-RU" w:eastAsia="ru-RU"/>
            </w:rPr>
          </w:pPr>
          <w:hyperlink w:anchor="__RefHeading___Toc530495740">
            <w:r>
              <w:rPr>
                <w:rStyle w:val="IndexLink"/>
                <w:lang w:val="ru-RU" w:eastAsia="ru-RU"/>
              </w:rPr>
              <w:t>1.9   Автоматическое построение блока</w:t>
              <w:tab/>
              <w:t>18</w:t>
            </w:r>
          </w:hyperlink>
        </w:p>
        <w:p>
          <w:pPr>
            <w:pStyle w:val="21"/>
            <w:rPr>
              <w:rFonts w:ascii="Calibri" w:hAnsi="Calibri" w:cs="Calibri"/>
              <w:sz w:val="22"/>
              <w:szCs w:val="22"/>
              <w:lang w:val="ru-RU" w:eastAsia="ru-RU"/>
            </w:rPr>
          </w:pPr>
          <w:hyperlink w:anchor="__RefHeading___Toc530495741">
            <w:r>
              <w:rPr>
                <w:rStyle w:val="IndexLink"/>
                <w:lang w:val="ru-RU" w:eastAsia="ru-RU"/>
              </w:rPr>
              <w:t>1.10  Расчет интервалов посадки фильтров</w:t>
              <w:tab/>
              <w:t>20</w:t>
            </w:r>
          </w:hyperlink>
        </w:p>
        <w:p>
          <w:pPr>
            <w:pStyle w:val="21"/>
            <w:rPr>
              <w:rFonts w:ascii="Calibri" w:hAnsi="Calibri" w:cs="Calibri"/>
              <w:sz w:val="22"/>
              <w:szCs w:val="22"/>
              <w:lang w:val="ru-RU" w:eastAsia="ru-RU"/>
            </w:rPr>
          </w:pPr>
          <w:hyperlink w:anchor="__RefHeading___Toc530495742">
            <w:r>
              <w:rPr>
                <w:rStyle w:val="IndexLink"/>
                <w:lang w:val="ru-RU" w:eastAsia="ru-RU"/>
              </w:rPr>
              <w:t>1.11  Расчет геотехнологических параметров блока</w:t>
              <w:tab/>
              <w:t>21</w:t>
            </w:r>
          </w:hyperlink>
        </w:p>
        <w:p>
          <w:pPr>
            <w:pStyle w:val="21"/>
            <w:rPr>
              <w:rFonts w:ascii="Calibri" w:hAnsi="Calibri" w:cs="Calibri"/>
              <w:sz w:val="22"/>
              <w:szCs w:val="22"/>
              <w:lang w:val="ru-RU" w:eastAsia="ru-RU"/>
            </w:rPr>
          </w:pPr>
          <w:hyperlink w:anchor="__RefHeading___Toc530495743">
            <w:r>
              <w:rPr>
                <w:rStyle w:val="IndexLink"/>
                <w:lang w:val="ru-RU" w:eastAsia="ru-RU"/>
              </w:rPr>
              <w:t>1.12  Расчет прогнозных геотехнологических показателей отработки блока</w:t>
              <w:tab/>
              <w:t>22</w:t>
            </w:r>
          </w:hyperlink>
        </w:p>
        <w:p>
          <w:pPr>
            <w:pStyle w:val="21"/>
            <w:rPr>
              <w:rFonts w:ascii="Calibri" w:hAnsi="Calibri" w:cs="Calibri"/>
              <w:sz w:val="22"/>
              <w:szCs w:val="22"/>
              <w:lang w:val="ru-RU" w:eastAsia="ru-RU"/>
            </w:rPr>
          </w:pPr>
          <w:hyperlink w:anchor="__RefHeading___Toc530495744">
            <w:r>
              <w:rPr>
                <w:rStyle w:val="IndexLink"/>
                <w:lang w:val="ru-RU" w:eastAsia="ru-RU"/>
              </w:rPr>
              <w:t>1.13  Формирование отчетной документации</w:t>
              <w:tab/>
              <w:t>24</w:t>
            </w:r>
          </w:hyperlink>
          <w:r>
            <w:rPr>
              <w:rStyle w:val="IndexLink"/>
              <w:lang w:val="ru-RU" w:eastAsia="ru-RU"/>
            </w:rPr>
            <w:fldChar w:fldCharType="end"/>
          </w:r>
        </w:p>
      </w:sdtContent>
    </w:sdt>
    <w:p>
      <w:pPr>
        <w:pStyle w:val="1"/>
        <w:numPr>
          <w:ilvl w:val="0"/>
          <w:numId w:val="0"/>
        </w:numPr>
        <w:rPr>
          <w:rFonts w:ascii="Calibri" w:hAnsi="Calibri" w:cs="Calibri"/>
          <w:caps/>
          <w:sz w:val="22"/>
          <w:szCs w:val="22"/>
          <w:lang w:val="ru-RU" w:eastAsia="ru-RU"/>
        </w:rPr>
      </w:pPr>
      <w:r>
        <w:rPr>
          <w:rFonts w:cs="Calibri" w:ascii="Calibri" w:hAnsi="Calibri"/>
          <w:caps/>
          <w:sz w:val="22"/>
          <w:szCs w:val="22"/>
          <w:lang w:val="ru-RU" w:eastAsia="ru-RU"/>
        </w:rPr>
      </w:r>
      <w:r>
        <w:br w:type="page"/>
      </w:r>
    </w:p>
    <w:p>
      <w:pPr>
        <w:pStyle w:val="1"/>
        <w:rPr/>
      </w:pPr>
      <w:bookmarkStart w:id="0" w:name="__RefHeading___Toc530495731"/>
      <w:r>
        <w:rPr>
          <w:caps/>
        </w:rPr>
        <w:t xml:space="preserve">1 </w:t>
      </w:r>
      <w:bookmarkEnd w:id="0"/>
      <w:r>
        <w:rPr/>
        <w:t>Система проектирования и оптимизации вскрытия рудных залежей</w:t>
      </w:r>
    </w:p>
    <w:p>
      <w:pPr>
        <w:pStyle w:val="Normal"/>
        <w:widowControl w:val="false"/>
        <w:tabs>
          <w:tab w:val="clear" w:pos="708"/>
          <w:tab w:val="right" w:pos="9356" w:leader="dot"/>
        </w:tabs>
        <w:spacing w:lineRule="auto" w:line="360"/>
        <w:ind w:right="793" w:hanging="0"/>
        <w:rPr>
          <w:b/>
          <w:b/>
          <w:bCs/>
          <w:sz w:val="28"/>
          <w:szCs w:val="28"/>
        </w:rPr>
      </w:pPr>
      <w:r>
        <w:rPr>
          <w:b/>
          <w:bCs/>
          <w:sz w:val="28"/>
          <w:szCs w:val="28"/>
        </w:rPr>
      </w:r>
    </w:p>
    <w:p>
      <w:pPr>
        <w:pStyle w:val="14"/>
        <w:rPr/>
      </w:pPr>
      <w:bookmarkStart w:id="1" w:name="__RefHeading___Toc530495732"/>
      <w:bookmarkEnd w:id="1"/>
      <w:r>
        <w:rPr/>
        <w:t>1.1   Общие сведения</w:t>
      </w:r>
    </w:p>
    <w:p>
      <w:pPr>
        <w:pStyle w:val="Normal"/>
        <w:spacing w:lineRule="auto" w:line="360"/>
        <w:ind w:firstLine="567"/>
        <w:jc w:val="both"/>
        <w:rPr>
          <w:sz w:val="28"/>
        </w:rPr>
      </w:pPr>
      <w:r>
        <w:rPr>
          <w:sz w:val="28"/>
          <w:szCs w:val="28"/>
        </w:rPr>
        <w:t xml:space="preserve">Программное обеспечение для оптимизации и планирования горных работ была произведена в среде программирования </w:t>
      </w:r>
      <w:r>
        <w:rPr>
          <w:sz w:val="28"/>
          <w:szCs w:val="28"/>
          <w:lang w:val="en-US"/>
        </w:rPr>
        <w:t>Embarcadero</w:t>
      </w:r>
      <w:r>
        <w:rPr>
          <w:sz w:val="28"/>
          <w:szCs w:val="28"/>
        </w:rPr>
        <w:t xml:space="preserve"> </w:t>
      </w:r>
      <w:r>
        <w:rPr>
          <w:sz w:val="28"/>
          <w:szCs w:val="28"/>
          <w:lang w:val="en-US"/>
        </w:rPr>
        <w:t>RAD</w:t>
      </w:r>
      <w:r>
        <w:rPr>
          <w:sz w:val="28"/>
          <w:szCs w:val="28"/>
        </w:rPr>
        <w:t xml:space="preserve"> </w:t>
      </w:r>
      <w:r>
        <w:rPr>
          <w:sz w:val="28"/>
          <w:szCs w:val="28"/>
          <w:lang w:val="en-US"/>
        </w:rPr>
        <w:t>XE</w:t>
      </w:r>
      <w:r>
        <w:rPr>
          <w:sz w:val="28"/>
          <w:szCs w:val="28"/>
        </w:rPr>
        <w:t xml:space="preserve">3. Программный код написан на языке программирования </w:t>
      </w:r>
      <w:r>
        <w:rPr>
          <w:sz w:val="28"/>
          <w:szCs w:val="28"/>
          <w:lang w:val="en-US"/>
        </w:rPr>
        <w:t>C</w:t>
      </w:r>
      <w:r>
        <w:rPr>
          <w:sz w:val="28"/>
          <w:szCs w:val="28"/>
        </w:rPr>
        <w:t xml:space="preserve">++ с использованием объектно-ориентированного подхода. Программа представляет собой 32-битное приложение, работающее на персональном компьютере под управлением операционной системы </w:t>
      </w:r>
      <w:r>
        <w:rPr>
          <w:sz w:val="28"/>
          <w:szCs w:val="28"/>
          <w:lang w:val="en-US"/>
        </w:rPr>
        <w:t>MS </w:t>
      </w:r>
      <w:r>
        <w:rPr>
          <w:sz w:val="28"/>
          <w:szCs w:val="28"/>
        </w:rPr>
        <w:t xml:space="preserve"> Windows</w:t>
      </w:r>
      <w:r>
        <w:rPr>
          <w:sz w:val="28"/>
          <w:szCs w:val="28"/>
          <w:lang w:val="en-US"/>
        </w:rPr>
        <w:t> XP</w:t>
      </w:r>
      <w:r>
        <w:rPr>
          <w:sz w:val="28"/>
          <w:szCs w:val="28"/>
        </w:rPr>
        <w:t xml:space="preserve">, 7, 8, 10. Основным структурным элементом, с которым работает пользователь, является проект . </w:t>
      </w:r>
      <w:r>
        <w:rPr>
          <w:sz w:val="28"/>
        </w:rPr>
        <w:t>Под проектом понимается совокупность всех начальных данных, необходимых для проектирования, совокупность данных необходимых для расчета геотехнологических параметров и показателей отработки эксплуатационных блоков и финансово-экономических показателей, а также результатов расчета геотехнологических и финансово-экономических показателей.</w:t>
      </w:r>
    </w:p>
    <w:p>
      <w:pPr>
        <w:pStyle w:val="Normal"/>
        <w:spacing w:lineRule="auto" w:line="360"/>
        <w:ind w:firstLine="720"/>
        <w:jc w:val="both"/>
        <w:rPr>
          <w:sz w:val="28"/>
          <w:szCs w:val="28"/>
        </w:rPr>
      </w:pPr>
      <w:r>
        <w:rPr>
          <w:sz w:val="28"/>
          <w:szCs w:val="28"/>
        </w:rPr>
        <w:t>Для оптимальной работы программы необходима следующая конфигурация персонального компьютера:</w:t>
      </w:r>
    </w:p>
    <w:p>
      <w:pPr>
        <w:pStyle w:val="Normal"/>
        <w:spacing w:lineRule="auto" w:line="360"/>
        <w:ind w:left="284" w:hanging="284"/>
        <w:jc w:val="both"/>
        <w:rPr/>
      </w:pPr>
      <w:r>
        <w:rPr>
          <w:sz w:val="28"/>
          <w:szCs w:val="28"/>
        </w:rPr>
        <w:t>–</w:t>
      </w:r>
      <w:r>
        <w:rPr>
          <w:sz w:val="28"/>
          <w:szCs w:val="28"/>
        </w:rPr>
        <w:tab/>
        <w:t xml:space="preserve">свободное место на </w:t>
      </w:r>
      <w:r>
        <w:rPr>
          <w:sz w:val="28"/>
          <w:szCs w:val="28"/>
          <w:lang w:val="en-US"/>
        </w:rPr>
        <w:t>HDD</w:t>
      </w:r>
      <w:r>
        <w:rPr>
          <w:sz w:val="28"/>
          <w:szCs w:val="28"/>
        </w:rPr>
        <w:t xml:space="preserve"> для установки программы не менее 250 </w:t>
      </w:r>
      <w:r>
        <w:rPr>
          <w:sz w:val="28"/>
          <w:szCs w:val="28"/>
          <w:lang w:val="en-US"/>
        </w:rPr>
        <w:t>M</w:t>
      </w:r>
      <w:r>
        <w:rPr>
          <w:sz w:val="28"/>
          <w:szCs w:val="28"/>
        </w:rPr>
        <w:t>Б;</w:t>
      </w:r>
    </w:p>
    <w:p>
      <w:pPr>
        <w:pStyle w:val="Normal"/>
        <w:spacing w:lineRule="auto" w:line="360"/>
        <w:ind w:left="284" w:hanging="284"/>
        <w:jc w:val="both"/>
        <w:rPr>
          <w:spacing w:val="-8"/>
          <w:sz w:val="28"/>
          <w:szCs w:val="28"/>
        </w:rPr>
      </w:pPr>
      <w:r>
        <w:rPr>
          <w:spacing w:val="-8"/>
          <w:sz w:val="28"/>
          <w:szCs w:val="28"/>
        </w:rPr>
        <w:t>–</w:t>
      </w:r>
      <w:r>
        <w:rPr>
          <w:spacing w:val="-8"/>
          <w:sz w:val="28"/>
          <w:szCs w:val="28"/>
        </w:rPr>
        <w:tab/>
        <w:t xml:space="preserve">процессор </w:t>
      </w:r>
      <w:r>
        <w:rPr>
          <w:spacing w:val="-8"/>
          <w:sz w:val="28"/>
          <w:szCs w:val="28"/>
          <w:lang w:val="en-US"/>
        </w:rPr>
        <w:t>Intel</w:t>
      </w:r>
      <w:r>
        <w:rPr>
          <w:spacing w:val="-8"/>
          <w:sz w:val="28"/>
          <w:szCs w:val="28"/>
        </w:rPr>
        <w:t xml:space="preserve"> </w:t>
      </w:r>
      <w:r>
        <w:rPr>
          <w:spacing w:val="-8"/>
          <w:sz w:val="28"/>
          <w:szCs w:val="28"/>
          <w:lang w:val="en-US"/>
        </w:rPr>
        <w:t>Core</w:t>
      </w:r>
      <w:r>
        <w:rPr>
          <w:spacing w:val="-8"/>
          <w:sz w:val="28"/>
          <w:szCs w:val="28"/>
        </w:rPr>
        <w:t xml:space="preserve"> </w:t>
      </w:r>
      <w:r>
        <w:rPr>
          <w:spacing w:val="-8"/>
          <w:sz w:val="28"/>
          <w:szCs w:val="28"/>
          <w:lang w:val="en-US"/>
        </w:rPr>
        <w:t>i</w:t>
      </w:r>
      <w:r>
        <w:rPr>
          <w:spacing w:val="-8"/>
          <w:sz w:val="28"/>
          <w:szCs w:val="28"/>
        </w:rPr>
        <w:t xml:space="preserve">3 или аналоги фирмы AMD с тактовой частотой не ниже </w:t>
      </w:r>
      <w:r>
        <w:rPr>
          <w:sz w:val="28"/>
          <w:szCs w:val="28"/>
        </w:rPr>
        <w:t>3</w:t>
      </w:r>
      <w:r>
        <w:rPr>
          <w:sz w:val="28"/>
          <w:szCs w:val="28"/>
          <w:lang w:val="en-US"/>
        </w:rPr>
        <w:t> </w:t>
      </w:r>
      <w:r>
        <w:rPr>
          <w:sz w:val="28"/>
          <w:szCs w:val="28"/>
        </w:rPr>
        <w:t>ГГц</w:t>
      </w:r>
      <w:r>
        <w:rPr>
          <w:spacing w:val="-8"/>
          <w:sz w:val="28"/>
          <w:szCs w:val="28"/>
        </w:rPr>
        <w:t>;</w:t>
      </w:r>
    </w:p>
    <w:p>
      <w:pPr>
        <w:pStyle w:val="Normal"/>
        <w:spacing w:lineRule="auto" w:line="360"/>
        <w:ind w:left="284" w:hanging="284"/>
        <w:jc w:val="both"/>
        <w:rPr>
          <w:sz w:val="28"/>
          <w:szCs w:val="28"/>
        </w:rPr>
      </w:pPr>
      <w:r>
        <w:rPr>
          <w:sz w:val="28"/>
          <w:szCs w:val="28"/>
        </w:rPr>
        <w:t>–</w:t>
      </w:r>
      <w:r>
        <w:rPr>
          <w:sz w:val="28"/>
          <w:szCs w:val="28"/>
        </w:rPr>
        <w:tab/>
        <w:t>оперативная память не менее 2 ГБ;</w:t>
      </w:r>
    </w:p>
    <w:p>
      <w:pPr>
        <w:pStyle w:val="Normal"/>
        <w:spacing w:lineRule="auto" w:line="360"/>
        <w:ind w:left="284" w:hanging="284"/>
        <w:jc w:val="both"/>
        <w:rPr>
          <w:sz w:val="28"/>
          <w:szCs w:val="28"/>
        </w:rPr>
      </w:pPr>
      <w:r>
        <w:rPr>
          <w:sz w:val="28"/>
          <w:szCs w:val="28"/>
        </w:rPr>
        <w:t>–</w:t>
      </w:r>
      <w:r>
        <w:rPr>
          <w:sz w:val="28"/>
          <w:szCs w:val="28"/>
        </w:rPr>
        <w:tab/>
        <w:t xml:space="preserve">видеокарта с поддержкой видеорежима – </w:t>
      </w:r>
      <w:r>
        <w:rPr>
          <w:sz w:val="28"/>
          <w:szCs w:val="28"/>
          <w:lang w:val="en-US"/>
        </w:rPr>
        <w:t>FullHD</w:t>
      </w:r>
      <w:r>
        <w:rPr>
          <w:sz w:val="28"/>
          <w:szCs w:val="28"/>
        </w:rPr>
        <w:t xml:space="preserve"> (</w:t>
      </w:r>
      <w:r>
        <w:rPr>
          <w:color w:val="000000"/>
          <w:sz w:val="28"/>
          <w:szCs w:val="28"/>
          <w:shd w:fill="F9F9F9" w:val="clear"/>
        </w:rPr>
        <w:t>1920×1080,</w:t>
      </w:r>
      <w:r>
        <w:rPr>
          <w:sz w:val="28"/>
          <w:szCs w:val="28"/>
        </w:rPr>
        <w:t xml:space="preserve"> 24 битный цвет).</w:t>
      </w:r>
    </w:p>
    <w:p>
      <w:pPr>
        <w:pStyle w:val="Normal"/>
        <w:spacing w:lineRule="auto" w:line="360"/>
        <w:ind w:firstLine="720"/>
        <w:jc w:val="both"/>
        <w:rPr>
          <w:sz w:val="28"/>
          <w:szCs w:val="28"/>
          <w:lang w:val="en-US"/>
        </w:rPr>
      </w:pPr>
      <w:r>
        <w:rPr>
          <w:sz w:val="28"/>
          <w:szCs w:val="28"/>
        </w:rPr>
        <w:t xml:space="preserve">Созданная экспертная система работает в составе интегрированного программного комплекса, предназначенного для комплексного информационного обеспечения разработки месторождения урана полезных ископаемых методом СПВ.  Комплекс состоит из связанных на уровне данных горно-геологической, технологической, геотехнологической моделирующей систем и хранилища данных.  Функциональная схема работы экспертной системы представлена на рисунке </w:t>
      </w:r>
      <w:r>
        <w:rPr>
          <w:sz w:val="28"/>
          <w:szCs w:val="28"/>
          <w:lang w:val="en-US"/>
        </w:rPr>
        <w:t>1</w:t>
      </w:r>
      <w:r>
        <w:rPr>
          <w:sz w:val="28"/>
          <w:szCs w:val="28"/>
        </w:rPr>
        <w:t xml:space="preserve">.1. </w:t>
      </w:r>
    </w:p>
    <w:p>
      <w:pPr>
        <w:pStyle w:val="Normal"/>
        <w:spacing w:lineRule="auto" w:line="360"/>
        <w:rPr>
          <w:sz w:val="28"/>
          <w:szCs w:val="28"/>
          <w:lang w:val="en-US"/>
        </w:rPr>
      </w:pPr>
      <w:r>
        <w:rPr/>
        <w:object w:dxaOrig="10079" w:dyaOrig="7703">
          <v:shapetype id="_x0000_tole_rId3" coordsize="21600,21600" o:spt="ole_rId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 type="_x0000_tole_rId3" style="width:467.2pt;height:329.35pt" filled="f" o:ole="">
            <v:imagedata r:id="rId4" o:title=""/>
          </v:shape>
          <o:OLEObject Type="Embed" ProgID="" ShapeID="ole_rId3" DrawAspect="Content" ObjectID="_1321793661" r:id="rId3"/>
        </w:object>
      </w:r>
    </w:p>
    <w:p>
      <w:pPr>
        <w:pStyle w:val="Normal"/>
        <w:ind w:right="87" w:hanging="0"/>
        <w:jc w:val="center"/>
        <w:rPr>
          <w:sz w:val="28"/>
          <w:szCs w:val="28"/>
        </w:rPr>
      </w:pPr>
      <w:r>
        <w:rPr>
          <w:sz w:val="28"/>
          <w:szCs w:val="28"/>
        </w:rPr>
        <w:t>Рисунок 1.1 – Функциональная схема работы экспертной системы</w:t>
      </w:r>
    </w:p>
    <w:p>
      <w:pPr>
        <w:pStyle w:val="Normal"/>
        <w:spacing w:lineRule="auto" w:line="360"/>
        <w:ind w:firstLine="720"/>
        <w:jc w:val="both"/>
        <w:rPr>
          <w:sz w:val="28"/>
          <w:szCs w:val="28"/>
        </w:rPr>
      </w:pPr>
      <w:r>
        <w:rPr>
          <w:sz w:val="28"/>
          <w:szCs w:val="28"/>
        </w:rPr>
      </w:r>
    </w:p>
    <w:p>
      <w:pPr>
        <w:pStyle w:val="Normal"/>
        <w:spacing w:lineRule="auto" w:line="360"/>
        <w:ind w:firstLine="720"/>
        <w:jc w:val="both"/>
        <w:rPr/>
      </w:pPr>
      <w:r>
        <w:rPr>
          <w:sz w:val="28"/>
          <w:szCs w:val="28"/>
        </w:rPr>
        <w:t xml:space="preserve">Основой для работы экспертной системы является геолого-математическая модель залежи, построенная с помощью горно-геологической системы по результатам детальной разведки месторождения. Геолого-математическая модель залежи импортируется из хранилища данных интегрированного программного комплекса. Другими исходными данными для экспертной системы являются задаваемые пользователем финансово-экономические параметры и параметры функций, описывающих основные геотехнологические показатели отработки эксплуатационных блоков. Финансово-экономические параметры характеризуют капитальные и эксплуатационные затраты по созданию и отработке эксплуатационных блоков (стоимости сооружения технологических скважин, реагентов, электроэнергии, погружных насосов и т.д.). Параметры функций геотехнологические показателей отработки эксплуатационных блоков определяют зависимости массы извлеченного урана и затраты реагентов в зависимости от времени и отношения закаченного объема рабочих растворов к горнорудной массе блока (отношение Ж/Т). </w:t>
      </w:r>
    </w:p>
    <w:p>
      <w:pPr>
        <w:pStyle w:val="Normal"/>
        <w:spacing w:lineRule="auto" w:line="360"/>
        <w:ind w:firstLine="720"/>
        <w:jc w:val="both"/>
        <w:rPr>
          <w:sz w:val="28"/>
          <w:szCs w:val="28"/>
        </w:rPr>
      </w:pPr>
      <w:r>
        <w:rPr>
          <w:sz w:val="28"/>
          <w:szCs w:val="28"/>
        </w:rPr>
        <w:t>Оптимальная система отработки эксплуатационного блока определяется экстремумом целевой функции. Вид целевой функции определяется пользователем. В качестве целевых функций оптимизации могут быть использованы отношение закаченного объема рабочих растворов к горнорудной массе блока (отношение Ж/Т) для заданной степени отработки эксплуатационного блока; время, требуемое для достижения заданной степени отработки блока; степень вскрытия запасов эксплуатационными блоками; себестоимость добычи урана. Также возможно определение новой целевой функции в виде линейной комбинации выбранных функций с различными весовыми коэффициентами. Поиск экстремума целевой функции может происходить в ручном или автоматическом режиме. В автоматическом режиме поиск экстремума выполняется с помощью метода градиентного спуска. После нахождения оптимальной системы отработки эксплуатационного программа выводит результаты в виде карт, графиков и таблиц, позволяя пользователю оценить результат оптимизации.</w:t>
      </w:r>
    </w:p>
    <w:p>
      <w:pPr>
        <w:pStyle w:val="1"/>
        <w:rPr>
          <w:sz w:val="28"/>
          <w:szCs w:val="28"/>
        </w:rPr>
      </w:pPr>
      <w:r>
        <w:rPr>
          <w:sz w:val="28"/>
          <w:szCs w:val="28"/>
        </w:rPr>
      </w:r>
    </w:p>
    <w:p>
      <w:pPr>
        <w:pStyle w:val="14"/>
        <w:rPr/>
      </w:pPr>
      <w:bookmarkStart w:id="2" w:name="__RefHeading___Toc530495733"/>
      <w:bookmarkEnd w:id="2"/>
      <w:r>
        <w:rPr/>
        <w:t>1.2   Структура главного окна программы</w:t>
      </w:r>
    </w:p>
    <w:p>
      <w:pPr>
        <w:pStyle w:val="Normal"/>
        <w:spacing w:lineRule="auto" w:line="360"/>
        <w:ind w:firstLine="567"/>
        <w:jc w:val="both"/>
        <w:rPr>
          <w:sz w:val="28"/>
          <w:szCs w:val="28"/>
        </w:rPr>
      </w:pPr>
      <w:r>
        <w:rPr>
          <w:sz w:val="28"/>
          <w:szCs w:val="28"/>
        </w:rPr>
        <w:t xml:space="preserve">При запуске программы открывается главное окно приложения и появляется диалог идентификации пользователя. Используя диалог, следует ввести логин и пароль пользователя, определяющих доступ к информации базы технологических данных. Внешний вид главного окна приложения приведен на рисунке 1.1. </w:t>
      </w:r>
    </w:p>
    <w:p>
      <w:pPr>
        <w:pStyle w:val="Normal"/>
        <w:tabs>
          <w:tab w:val="clear" w:pos="708"/>
          <w:tab w:val="left" w:pos="540" w:leader="none"/>
        </w:tabs>
        <w:spacing w:lineRule="auto" w:line="360"/>
        <w:ind w:firstLine="720"/>
        <w:jc w:val="both"/>
        <w:rPr>
          <w:sz w:val="28"/>
          <w:szCs w:val="28"/>
        </w:rPr>
      </w:pPr>
      <w:r>
        <w:rPr>
          <w:sz w:val="28"/>
          <w:szCs w:val="28"/>
        </w:rPr>
        <w:t xml:space="preserve">Программа позволяет работать одновременно только с одним проектом. Для выбора проекта используется инструмент управления «Дерево» (2, рисунок </w:t>
      </w:r>
      <w:r>
        <w:rPr>
          <w:sz w:val="28"/>
          <w:szCs w:val="28"/>
          <w:lang w:val="en-US"/>
        </w:rPr>
        <w:t>1</w:t>
      </w:r>
      <w:r>
        <w:rPr>
          <w:sz w:val="28"/>
          <w:szCs w:val="28"/>
        </w:rPr>
        <w:t xml:space="preserve">.1). Список проектов отображается в зависимости от выбранного участка месторождения. Выбор участка производиться в строке 3 (рисунок 1.1). Для создания нового проекта используется главное меню (1, рисунок 1.1): Проект → Добавить. При добавлении проекта открывается окно, в котором пользователь может ввести информацию о проекте, включающую имя проекта, залежь, проектируемые блоки, исполнитель проекта, комментарии к проекту. В дальнейшем выше описанные параметры проекта могут быть изменены. Для удаления текущего проекта (выбранного в «Списке») пункт главного меню: Проект → Удалить. При этом появится запрос на подтверждение удаления текущего проекта. Для сохранения текущего проекта необходимо нажать кнопку «Применить» (6, рисунок 1.1). После чего все изменения по проекту будут сохранены в базу технологических данных. Кнопка «Отмена» позволяет загрузить последнюю сохраненную версию данных по проекту, в случае если пользователь хочет отменить изменение данных проекта. </w:t>
      </w:r>
    </w:p>
    <w:p>
      <w:pPr>
        <w:pStyle w:val="Normal"/>
        <w:tabs>
          <w:tab w:val="clear" w:pos="708"/>
          <w:tab w:val="left" w:pos="540" w:leader="none"/>
        </w:tabs>
        <w:spacing w:lineRule="auto" w:line="360"/>
        <w:jc w:val="center"/>
        <w:rPr>
          <w:sz w:val="28"/>
          <w:szCs w:val="28"/>
        </w:rPr>
      </w:pPr>
      <w:bookmarkStart w:id="3" w:name="_1604228190"/>
      <w:bookmarkStart w:id="4" w:name="_1604228161"/>
      <w:bookmarkStart w:id="5" w:name="_1604228137"/>
      <w:bookmarkStart w:id="6" w:name="_1604228124"/>
      <w:bookmarkStart w:id="7" w:name="_1604228060"/>
      <w:bookmarkStart w:id="8" w:name="_1540583361"/>
      <w:bookmarkStart w:id="9" w:name="_1512314454"/>
      <w:bookmarkStart w:id="10" w:name="_1478498227"/>
      <w:bookmarkStart w:id="11" w:name="_1478425361"/>
      <w:bookmarkStart w:id="12" w:name="_1478424717"/>
      <w:bookmarkStart w:id="13" w:name="_1478424709"/>
      <w:bookmarkStart w:id="14" w:name="_1478424338"/>
      <w:bookmarkStart w:id="15" w:name="_1478415230"/>
      <w:bookmarkStart w:id="16" w:name="_1446975974"/>
      <w:bookmarkStart w:id="17" w:name="_1446975920"/>
      <w:bookmarkStart w:id="18" w:name="_1446975850"/>
      <w:bookmarkStart w:id="19" w:name="_1446636576"/>
      <w:bookmarkStart w:id="20" w:name="_1446361387"/>
      <w:bookmarkStart w:id="21" w:name="_1446308979"/>
      <w:bookmarkStart w:id="22" w:name="_1446308400"/>
      <w:bookmarkStart w:id="23" w:name="_1446308377"/>
      <w:bookmarkStart w:id="24" w:name="_1446308323"/>
      <w:bookmarkStart w:id="25" w:name="_1446308312"/>
      <w:bookmarkStart w:id="26" w:name="_1446308250"/>
      <w:bookmarkStart w:id="27" w:name="_1446307673"/>
      <w:bookmarkStart w:id="28" w:name="_1446296572"/>
      <w:bookmarkStart w:id="29" w:name="_1446296568"/>
      <w:bookmarkStart w:id="30" w:name="_1446296559"/>
      <w:bookmarkStart w:id="31" w:name="_1446295145"/>
      <w:bookmarkStart w:id="32" w:name="_1446294738"/>
      <w:bookmarkStart w:id="33" w:name="_1446294513"/>
      <w:bookmarkStart w:id="34" w:name="_1446294379"/>
      <w:bookmarkStart w:id="35" w:name="_144629400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Pr>
          <w:sz w:val="28"/>
          <w:szCs w:val="28"/>
        </w:rPr>
        <w:object w:dxaOrig="9720" w:dyaOrig="9252">
          <v:shapetype id="_x0000_tole_rId5" coordsize="21600,21600" o:spt="ole_rId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 type="_x0000_tole_rId5" style="width:426.7pt;height:323.8pt" filled="f" o:ole="">
            <v:imagedata r:id="rId6" o:title=""/>
          </v:shape>
          <o:OLEObject Type="Embed" ProgID="" ShapeID="ole_rId5" DrawAspect="Content" ObjectID="_1503114533" r:id="rId5"/>
        </w:object>
      </w:r>
    </w:p>
    <w:p>
      <w:pPr>
        <w:pStyle w:val="Normal"/>
        <w:spacing w:lineRule="auto" w:line="360"/>
        <w:ind w:firstLine="720"/>
        <w:jc w:val="both"/>
        <w:rPr>
          <w:sz w:val="28"/>
          <w:szCs w:val="28"/>
          <w:lang w:val="ru-RU" w:eastAsia="ru-RU"/>
        </w:rPr>
      </w:pPr>
      <w:r>
        <w:rPr>
          <w:sz w:val="28"/>
          <w:szCs w:val="28"/>
          <w:lang w:val="ru-RU" w:eastAsia="ru-RU"/>
        </w:rPr>
      </w:r>
      <w:r>
        <mc:AlternateContent>
          <mc:Choice Requires="wps">
            <w:drawing>
              <wp:anchor behindDoc="0" distT="0" distB="0" distL="114935" distR="114935" simplePos="0" locked="0" layoutInCell="0" allowOverlap="1" relativeHeight="21">
                <wp:simplePos x="0" y="0"/>
                <wp:positionH relativeFrom="column">
                  <wp:posOffset>-24130</wp:posOffset>
                </wp:positionH>
                <wp:positionV relativeFrom="paragraph">
                  <wp:posOffset>65405</wp:posOffset>
                </wp:positionV>
                <wp:extent cx="5963285" cy="811530"/>
                <wp:effectExtent l="0" t="0" r="0" b="0"/>
                <wp:wrapNone/>
                <wp:docPr id="4" name="Врезка1"/>
                <a:graphic xmlns:a="http://schemas.openxmlformats.org/drawingml/2006/main">
                  <a:graphicData uri="http://schemas.microsoft.com/office/word/2010/wordprocessingShape">
                    <wps:wsp>
                      <wps:cNvSpPr txBox="1"/>
                      <wps:spPr>
                        <a:xfrm>
                          <a:off x="0" y="0"/>
                          <a:ext cx="5963285" cy="811530"/>
                        </a:xfrm>
                        <a:prstGeom prst="rect"/>
                        <a:solidFill>
                          <a:srgbClr val="FFFFFF"/>
                        </a:solidFill>
                        <a:ln w="9525">
                          <a:solidFill>
                            <a:srgbClr val="FFFFFF"/>
                          </a:solidFill>
                        </a:ln>
                      </wps:spPr>
                      <wps:txbx>
                        <w:txbxContent>
                          <w:p>
                            <w:pPr>
                              <w:pStyle w:val="Normal"/>
                              <w:ind w:right="87" w:hanging="0"/>
                              <w:jc w:val="center"/>
                              <w:rPr/>
                            </w:pPr>
                            <w:r>
                              <w:rPr/>
                              <w:t xml:space="preserve">1 – главное меню программы; 2 – список проектов добычного комплекса; 3 – список участков месторождения; 4 – инструмент переключения закладок; 5 – инструменты настройки информации о  проекте; 6 –кнопка «Применить изменения»; </w:t>
                            </w:r>
                          </w:p>
                          <w:p>
                            <w:pPr>
                              <w:pStyle w:val="Normal"/>
                              <w:ind w:right="87" w:hanging="0"/>
                              <w:jc w:val="center"/>
                              <w:rPr>
                                <w:sz w:val="28"/>
                                <w:szCs w:val="28"/>
                                <w:lang w:val="en-US"/>
                              </w:rPr>
                            </w:pPr>
                            <w:r>
                              <w:rPr>
                                <w:sz w:val="28"/>
                                <w:szCs w:val="28"/>
                              </w:rPr>
                              <w:t xml:space="preserve">Рисунок </w:t>
                            </w:r>
                            <w:r>
                              <w:rPr>
                                <w:sz w:val="28"/>
                                <w:szCs w:val="28"/>
                                <w:lang w:val="en-US"/>
                              </w:rPr>
                              <w:t>1</w:t>
                            </w:r>
                            <w:r>
                              <w:rPr>
                                <w:sz w:val="28"/>
                                <w:szCs w:val="28"/>
                              </w:rPr>
                              <w:t>.1 –Вкладка «Проект»</w:t>
                            </w:r>
                          </w:p>
                          <w:p>
                            <w:pPr>
                              <w:pStyle w:val="Normal"/>
                              <w:rPr>
                                <w:sz w:val="28"/>
                                <w:szCs w:val="28"/>
                                <w:lang w:val="en-US"/>
                              </w:rPr>
                            </w:pPr>
                            <w:r>
                              <w:rPr>
                                <w:sz w:val="28"/>
                                <w:szCs w:val="28"/>
                                <w:lang w:val="en-US"/>
                              </w:rPr>
                            </w:r>
                          </w:p>
                          <w:p>
                            <w:pPr>
                              <w:pStyle w:val="Normal"/>
                              <w:rPr/>
                            </w:pPr>
                            <w:r>
                              <w:rPr/>
                            </w:r>
                          </w:p>
                        </w:txbxContent>
                      </wps:txbx>
                      <wps:bodyPr anchor="t" lIns="91440" tIns="45720" rIns="91440" bIns="45720">
                        <a:noAutofit/>
                      </wps:bodyPr>
                    </wps:wsp>
                  </a:graphicData>
                </a:graphic>
              </wp:anchor>
            </w:drawing>
          </mc:Choice>
          <mc:Fallback>
            <w:pict>
              <v:rect fillcolor="#FFFFFF" strokecolor="#FFFFFF" strokeweight="0pt" style="position:absolute;rotation:0;width:469.55pt;height:63.9pt;mso-wrap-distance-left:9.05pt;mso-wrap-distance-right:9.05pt;mso-wrap-distance-top:0pt;mso-wrap-distance-bottom:0pt;margin-top:5.15pt;mso-position-vertical-relative:text;margin-left:-1.9pt;mso-position-horizontal-relative:text">
                <v:textbox>
                  <w:txbxContent>
                    <w:p>
                      <w:pPr>
                        <w:pStyle w:val="Normal"/>
                        <w:ind w:right="87" w:hanging="0"/>
                        <w:jc w:val="center"/>
                        <w:rPr/>
                      </w:pPr>
                      <w:r>
                        <w:rPr/>
                        <w:t xml:space="preserve">1 – главное меню программы; 2 – список проектов добычного комплекса; 3 – список участков месторождения; 4 – инструмент переключения закладок; 5 – инструменты настройки информации о  проекте; 6 –кнопка «Применить изменения»; </w:t>
                      </w:r>
                    </w:p>
                    <w:p>
                      <w:pPr>
                        <w:pStyle w:val="Normal"/>
                        <w:ind w:right="87" w:hanging="0"/>
                        <w:jc w:val="center"/>
                        <w:rPr>
                          <w:sz w:val="28"/>
                          <w:szCs w:val="28"/>
                          <w:lang w:val="en-US"/>
                        </w:rPr>
                      </w:pPr>
                      <w:r>
                        <w:rPr>
                          <w:sz w:val="28"/>
                          <w:szCs w:val="28"/>
                        </w:rPr>
                        <w:t xml:space="preserve">Рисунок </w:t>
                      </w:r>
                      <w:r>
                        <w:rPr>
                          <w:sz w:val="28"/>
                          <w:szCs w:val="28"/>
                          <w:lang w:val="en-US"/>
                        </w:rPr>
                        <w:t>1</w:t>
                      </w:r>
                      <w:r>
                        <w:rPr>
                          <w:sz w:val="28"/>
                          <w:szCs w:val="28"/>
                        </w:rPr>
                        <w:t>.1 –Вкладка «Проект»</w:t>
                      </w:r>
                    </w:p>
                    <w:p>
                      <w:pPr>
                        <w:pStyle w:val="Normal"/>
                        <w:rPr>
                          <w:sz w:val="28"/>
                          <w:szCs w:val="28"/>
                          <w:lang w:val="en-US"/>
                        </w:rPr>
                      </w:pPr>
                      <w:r>
                        <w:rPr>
                          <w:sz w:val="28"/>
                          <w:szCs w:val="28"/>
                          <w:lang w:val="en-US"/>
                        </w:rPr>
                      </w:r>
                    </w:p>
                    <w:p>
                      <w:pPr>
                        <w:pStyle w:val="Normal"/>
                        <w:rPr/>
                      </w:pPr>
                      <w:r>
                        <w:rPr/>
                      </w:r>
                    </w:p>
                  </w:txbxContent>
                </v:textbox>
                <w10:wrap type="none"/>
              </v:rect>
            </w:pict>
          </mc:Fallback>
        </mc:AlternateContent>
      </w:r>
    </w:p>
    <w:p>
      <w:pPr>
        <w:pStyle w:val="Normal"/>
        <w:spacing w:lineRule="auto" w:line="360"/>
        <w:ind w:firstLine="720"/>
        <w:jc w:val="both"/>
        <w:rPr>
          <w:sz w:val="28"/>
          <w:szCs w:val="28"/>
        </w:rPr>
      </w:pPr>
      <w:r>
        <w:rPr>
          <w:sz w:val="28"/>
          <w:szCs w:val="28"/>
        </w:rPr>
      </w:r>
    </w:p>
    <w:p>
      <w:pPr>
        <w:pStyle w:val="14"/>
        <w:rPr/>
      </w:pPr>
      <w:bookmarkStart w:id="36" w:name="__RefHeading___Toc530495734"/>
      <w:bookmarkEnd w:id="36"/>
      <w:r>
        <w:rPr/>
        <w:t>1.3     Импорт геолого-математических моделей</w:t>
      </w:r>
    </w:p>
    <w:p>
      <w:pPr>
        <w:pStyle w:val="Normal"/>
        <w:spacing w:lineRule="auto" w:line="360"/>
        <w:ind w:firstLine="720"/>
        <w:jc w:val="both"/>
        <w:rPr/>
      </w:pPr>
      <w:r>
        <w:rPr>
          <w:sz w:val="28"/>
          <w:szCs w:val="28"/>
        </w:rPr>
        <w:t>После создания проекта и ввода параметров проекта на закладке «Геометризация» осуществляется импорт геолого-математической модели и построение контура области вскрытия, внешний вид закладки представлен на рисунке 1.2.</w:t>
      </w:r>
    </w:p>
    <w:p>
      <w:pPr>
        <w:pStyle w:val="Normal"/>
        <w:spacing w:lineRule="auto" w:line="360"/>
        <w:jc w:val="center"/>
        <w:rPr>
          <w:sz w:val="28"/>
          <w:szCs w:val="28"/>
        </w:rPr>
      </w:pPr>
      <w:bookmarkStart w:id="37" w:name="_1604228993"/>
      <w:bookmarkStart w:id="38" w:name="_1604228542"/>
      <w:bookmarkStart w:id="39" w:name="_1540631972"/>
      <w:bookmarkStart w:id="40" w:name="_1540631958"/>
      <w:bookmarkStart w:id="41" w:name="_1540631888"/>
      <w:bookmarkStart w:id="42" w:name="_1540583886"/>
      <w:bookmarkStart w:id="43" w:name="_1540583701"/>
      <w:bookmarkStart w:id="44" w:name="_1512315496"/>
      <w:bookmarkEnd w:id="37"/>
      <w:bookmarkEnd w:id="38"/>
      <w:bookmarkEnd w:id="39"/>
      <w:bookmarkEnd w:id="40"/>
      <w:bookmarkEnd w:id="41"/>
      <w:bookmarkEnd w:id="42"/>
      <w:bookmarkEnd w:id="43"/>
      <w:bookmarkEnd w:id="44"/>
      <w:r>
        <w:rPr>
          <w:sz w:val="28"/>
          <w:szCs w:val="28"/>
        </w:rPr>
        <w:object w:dxaOrig="9720" w:dyaOrig="9252">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width:426.2pt;height:328.4pt" filled="f" o:ole="">
            <v:imagedata r:id="rId8" o:title=""/>
          </v:shape>
          <o:OLEObject Type="Embed" ProgID="" ShapeID="ole_rId7" DrawAspect="Content" ObjectID="_733998052" r:id="rId7"/>
        </w:object>
      </w:r>
      <w:r>
        <mc:AlternateContent>
          <mc:Choice Requires="wps">
            <w:drawing>
              <wp:anchor behindDoc="0" distT="0" distB="0" distL="114935" distR="114935" simplePos="0" locked="0" layoutInCell="0" allowOverlap="1" relativeHeight="32">
                <wp:simplePos x="0" y="0"/>
                <wp:positionH relativeFrom="column">
                  <wp:posOffset>-7620</wp:posOffset>
                </wp:positionH>
                <wp:positionV relativeFrom="paragraph">
                  <wp:posOffset>4187825</wp:posOffset>
                </wp:positionV>
                <wp:extent cx="5963285" cy="1956435"/>
                <wp:effectExtent l="0" t="0" r="0" b="0"/>
                <wp:wrapNone/>
                <wp:docPr id="5" name="Врезка2"/>
                <a:graphic xmlns:a="http://schemas.openxmlformats.org/drawingml/2006/main">
                  <a:graphicData uri="http://schemas.microsoft.com/office/word/2010/wordprocessingShape">
                    <wps:wsp>
                      <wps:cNvSpPr txBox="1"/>
                      <wps:spPr>
                        <a:xfrm>
                          <a:off x="0" y="0"/>
                          <a:ext cx="5963285" cy="1956435"/>
                        </a:xfrm>
                        <a:prstGeom prst="rect"/>
                        <a:solidFill>
                          <a:srgbClr val="FFFFFF"/>
                        </a:solidFill>
                        <a:ln w="9525">
                          <a:solidFill>
                            <a:srgbClr val="FFFFFF"/>
                          </a:solidFill>
                        </a:ln>
                      </wps:spPr>
                      <wps:txbx>
                        <w:txbxContent>
                          <w:p>
                            <w:pPr>
                              <w:pStyle w:val="Normal"/>
                              <w:ind w:right="87" w:hanging="0"/>
                              <w:jc w:val="center"/>
                              <w:rPr/>
                            </w:pPr>
                            <w:r>
                              <w:rPr/>
                              <w:t>1 – инструменты позиционирования области проектирования; 2 – инструмент настройки отображения объектов; 3 – инструмент выбора отображаемого распределения;  4 – кнопка «Загрузка модели»; 5 – кнопка «Загрузка подсчетных блоков»;  6 – кнопка «Обновление данных модели»; 7- инструменты работы с топографическими картами местности; 8- список областей вскрытия;  9- кнопка «Добавить область вскрытия»; 10- свойства области  вскрытия;11- кнопка «удалить область вскрытия»; 12- кнопка «Отменить изменения»; 13- кнопка «Повторить изменения»; 14- инструмент перемещения имени разведывательных скважин;  15- инструменты построения областей вскрытия; 16- область проектирования;</w:t>
                            </w:r>
                          </w:p>
                          <w:p>
                            <w:pPr>
                              <w:pStyle w:val="Normal"/>
                              <w:ind w:right="87" w:hanging="0"/>
                              <w:jc w:val="center"/>
                              <w:rPr>
                                <w:sz w:val="28"/>
                                <w:szCs w:val="28"/>
                              </w:rPr>
                            </w:pPr>
                            <w:r>
                              <w:rPr>
                                <w:sz w:val="28"/>
                                <w:szCs w:val="28"/>
                              </w:rPr>
                              <w:t>Рисунок 1.2 – Закладка «Геометризация»</w:t>
                            </w:r>
                          </w:p>
                          <w:p>
                            <w:pPr>
                              <w:pStyle w:val="Normal"/>
                              <w:rPr>
                                <w:sz w:val="28"/>
                                <w:szCs w:val="28"/>
                              </w:rPr>
                            </w:pPr>
                            <w:r>
                              <w:rPr>
                                <w:sz w:val="28"/>
                                <w:szCs w:val="28"/>
                              </w:rPr>
                            </w:r>
                          </w:p>
                          <w:p>
                            <w:pPr>
                              <w:pStyle w:val="Normal"/>
                              <w:rPr/>
                            </w:pPr>
                            <w:r>
                              <w:rPr/>
                            </w:r>
                          </w:p>
                        </w:txbxContent>
                      </wps:txbx>
                      <wps:bodyPr anchor="t" lIns="91440" tIns="45720" rIns="91440" bIns="45720">
                        <a:noAutofit/>
                      </wps:bodyPr>
                    </wps:wsp>
                  </a:graphicData>
                </a:graphic>
              </wp:anchor>
            </w:drawing>
          </mc:Choice>
          <mc:Fallback>
            <w:pict>
              <v:rect fillcolor="#FFFFFF" strokecolor="#FFFFFF" strokeweight="0pt" style="position:absolute;rotation:0;width:469.55pt;height:154.05pt;mso-wrap-distance-left:9.05pt;mso-wrap-distance-right:9.05pt;mso-wrap-distance-top:0pt;mso-wrap-distance-bottom:0pt;margin-top:329.75pt;mso-position-vertical-relative:text;margin-left:-0.6pt;mso-position-horizontal-relative:text">
                <v:textbox>
                  <w:txbxContent>
                    <w:p>
                      <w:pPr>
                        <w:pStyle w:val="Normal"/>
                        <w:ind w:right="87" w:hanging="0"/>
                        <w:jc w:val="center"/>
                        <w:rPr/>
                      </w:pPr>
                      <w:r>
                        <w:rPr/>
                        <w:t>1 – инструменты позиционирования области проектирования; 2 – инструмент настройки отображения объектов; 3 – инструмент выбора отображаемого распределения;  4 – кнопка «Загрузка модели»; 5 – кнопка «Загрузка подсчетных блоков»;  6 – кнопка «Обновление данных модели»; 7- инструменты работы с топографическими картами местности; 8- список областей вскрытия;  9- кнопка «Добавить область вскрытия»; 10- свойства области  вскрытия;11- кнопка «удалить область вскрытия»; 12- кнопка «Отменить изменения»; 13- кнопка «Повторить изменения»; 14- инструмент перемещения имени разведывательных скважин;  15- инструменты построения областей вскрытия; 16- область проектирования;</w:t>
                      </w:r>
                    </w:p>
                    <w:p>
                      <w:pPr>
                        <w:pStyle w:val="Normal"/>
                        <w:ind w:right="87" w:hanging="0"/>
                        <w:jc w:val="center"/>
                        <w:rPr>
                          <w:sz w:val="28"/>
                          <w:szCs w:val="28"/>
                        </w:rPr>
                      </w:pPr>
                      <w:r>
                        <w:rPr>
                          <w:sz w:val="28"/>
                          <w:szCs w:val="28"/>
                        </w:rPr>
                        <w:t>Рисунок 1.2 – Закладка «Геометризация»</w:t>
                      </w:r>
                    </w:p>
                    <w:p>
                      <w:pPr>
                        <w:pStyle w:val="Normal"/>
                        <w:rPr>
                          <w:sz w:val="28"/>
                          <w:szCs w:val="28"/>
                        </w:rPr>
                      </w:pPr>
                      <w:r>
                        <w:rPr>
                          <w:sz w:val="28"/>
                          <w:szCs w:val="28"/>
                        </w:rPr>
                      </w:r>
                    </w:p>
                    <w:p>
                      <w:pPr>
                        <w:pStyle w:val="Normal"/>
                        <w:rPr/>
                      </w:pPr>
                      <w:r>
                        <w:rPr/>
                      </w:r>
                    </w:p>
                  </w:txbxContent>
                </v:textbox>
                <w10:wrap type="none"/>
              </v:rect>
            </w:pict>
          </mc:Fallback>
        </mc:AlternateContent>
      </w:r>
    </w:p>
    <w:p>
      <w:pPr>
        <w:pStyle w:val="Normal"/>
        <w:spacing w:lineRule="auto" w:line="360"/>
        <w:jc w:val="center"/>
        <w:rPr>
          <w:sz w:val="28"/>
          <w:szCs w:val="28"/>
        </w:rPr>
      </w:pPr>
      <w:r>
        <w:rPr>
          <w:sz w:val="28"/>
          <w:szCs w:val="28"/>
        </w:rPr>
      </w:r>
    </w:p>
    <w:p>
      <w:pPr>
        <w:pStyle w:val="Normal"/>
        <w:spacing w:lineRule="auto" w:line="360"/>
        <w:jc w:val="center"/>
        <w:rPr>
          <w:sz w:val="28"/>
          <w:szCs w:val="28"/>
        </w:rPr>
      </w:pPr>
      <w:r>
        <w:rPr>
          <w:sz w:val="28"/>
          <w:szCs w:val="28"/>
        </w:rPr>
      </w:r>
    </w:p>
    <w:p>
      <w:pPr>
        <w:pStyle w:val="Normal"/>
        <w:spacing w:lineRule="auto" w:line="360"/>
        <w:jc w:val="center"/>
        <w:rPr>
          <w:sz w:val="28"/>
          <w:szCs w:val="28"/>
        </w:rPr>
      </w:pPr>
      <w:r>
        <w:rPr>
          <w:sz w:val="28"/>
          <w:szCs w:val="28"/>
        </w:rPr>
      </w:r>
    </w:p>
    <w:p>
      <w:pPr>
        <w:pStyle w:val="Normal"/>
        <w:spacing w:lineRule="auto" w:line="360"/>
        <w:jc w:val="center"/>
        <w:rPr>
          <w:sz w:val="28"/>
          <w:szCs w:val="28"/>
        </w:rPr>
      </w:pPr>
      <w:r>
        <w:rPr>
          <w:sz w:val="28"/>
          <w:szCs w:val="28"/>
        </w:rPr>
      </w:r>
    </w:p>
    <w:p>
      <w:pPr>
        <w:pStyle w:val="Normal"/>
        <w:spacing w:lineRule="auto" w:line="360"/>
        <w:jc w:val="center"/>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pPr>
      <w:r>
        <w:rPr>
          <w:sz w:val="28"/>
          <w:szCs w:val="28"/>
        </w:rPr>
        <w:t>Для начала работы с закладкой необходимо осуществить импорт геолого-математической модели залежи из базы геологических данных, для этого необходимо вызвать окно «Загрузка геологической модели» путем нажатия кнопки 4 (рисунок 1.2).  После этого на экране появится окно с параметрами подключения к базе геологических данных, в котором необходимо ввести логин и пароль пользователя.  При успешной идентификации пользователя и подключении к базе данных, появляется окно представленное на рисунке 1.3.</w:t>
      </w:r>
    </w:p>
    <w:p>
      <w:pPr>
        <w:pStyle w:val="Normal"/>
        <w:spacing w:lineRule="auto" w:line="360"/>
        <w:jc w:val="center"/>
        <w:rPr>
          <w:sz w:val="28"/>
          <w:szCs w:val="28"/>
        </w:rPr>
      </w:pPr>
      <w:bookmarkStart w:id="45" w:name="_1604230421"/>
      <w:bookmarkStart w:id="46" w:name="_1604229211"/>
      <w:bookmarkStart w:id="47" w:name="_1540584075"/>
      <w:bookmarkStart w:id="48" w:name="_1512316403"/>
      <w:bookmarkStart w:id="49" w:name="_1512316196"/>
      <w:bookmarkStart w:id="50" w:name="_1512315471"/>
      <w:bookmarkStart w:id="51" w:name="_1509275179"/>
      <w:bookmarkStart w:id="52" w:name="_1478426505"/>
      <w:bookmarkStart w:id="53" w:name="_1478426498"/>
      <w:bookmarkEnd w:id="45"/>
      <w:bookmarkEnd w:id="46"/>
      <w:bookmarkEnd w:id="47"/>
      <w:bookmarkEnd w:id="48"/>
      <w:bookmarkEnd w:id="49"/>
      <w:bookmarkEnd w:id="50"/>
      <w:bookmarkEnd w:id="51"/>
      <w:bookmarkEnd w:id="52"/>
      <w:bookmarkEnd w:id="53"/>
      <w:r>
        <w:rPr>
          <w:sz w:val="28"/>
          <w:szCs w:val="28"/>
        </w:rPr>
        <w:object w:dxaOrig="9720" w:dyaOrig="9252">
          <v:shapetype id="_x0000_tole_rId9" coordsize="21600,21600" o:spt="ole_rId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 type="_x0000_tole_rId9" style="width:426.2pt;height:310.4pt" filled="f" o:ole="">
            <v:imagedata r:id="rId10" o:title=""/>
          </v:shape>
          <o:OLEObject Type="Embed" ProgID="" ShapeID="ole_rId9" DrawAspect="Content" ObjectID="_894632699" r:id="rId9"/>
        </w:object>
      </w:r>
      <w:r>
        <mc:AlternateContent>
          <mc:Choice Requires="wps">
            <w:drawing>
              <wp:anchor behindDoc="0" distT="0" distB="0" distL="114935" distR="114935" simplePos="0" locked="0" layoutInCell="0" allowOverlap="1" relativeHeight="27">
                <wp:simplePos x="0" y="0"/>
                <wp:positionH relativeFrom="column">
                  <wp:posOffset>-67945</wp:posOffset>
                </wp:positionH>
                <wp:positionV relativeFrom="paragraph">
                  <wp:posOffset>3980815</wp:posOffset>
                </wp:positionV>
                <wp:extent cx="5963285" cy="1720215"/>
                <wp:effectExtent l="0" t="0" r="0" b="0"/>
                <wp:wrapNone/>
                <wp:docPr id="6" name="Врезка3"/>
                <a:graphic xmlns:a="http://schemas.openxmlformats.org/drawingml/2006/main">
                  <a:graphicData uri="http://schemas.microsoft.com/office/word/2010/wordprocessingShape">
                    <wps:wsp>
                      <wps:cNvSpPr txBox="1"/>
                      <wps:spPr>
                        <a:xfrm>
                          <a:off x="0" y="0"/>
                          <a:ext cx="5963285" cy="1720215"/>
                        </a:xfrm>
                        <a:prstGeom prst="rect"/>
                        <a:solidFill>
                          <a:srgbClr val="FFFFFF"/>
                        </a:solidFill>
                        <a:ln w="9525">
                          <a:solidFill>
                            <a:srgbClr val="FFFFFF"/>
                          </a:solidFill>
                        </a:ln>
                      </wps:spPr>
                      <wps:txbx>
                        <w:txbxContent>
                          <w:p>
                            <w:pPr>
                              <w:pStyle w:val="Normal"/>
                              <w:ind w:right="87" w:hanging="0"/>
                              <w:jc w:val="center"/>
                              <w:rPr/>
                            </w:pPr>
                            <w:r>
                              <w:rPr/>
                              <w:t xml:space="preserve">1 – инструмент выбора месторождения; 2 – инструмент выбора залежи; 3 – инструмент выбора стадии разработки; 4 – инструмент выбора загрузки разведывательных скважин;  5 – инструмент выбора загрузки подсчетных блоков  6 – настройка преобразования координат;  7 - список геолого-математических моделей; 8- список входящих в модель массивов;  9- область визуализации моделей и блоков; 10- инструмент выбора распределения области визуализации; 11- инструмент масштабирование области визуализации; </w:t>
                            </w:r>
                          </w:p>
                          <w:p>
                            <w:pPr>
                              <w:pStyle w:val="Normal"/>
                              <w:ind w:right="87" w:hanging="0"/>
                              <w:jc w:val="center"/>
                              <w:rPr/>
                            </w:pPr>
                            <w:r>
                              <w:rPr/>
                              <w:t>12- инструмент масштабирование области визуализации;</w:t>
                            </w:r>
                          </w:p>
                          <w:p>
                            <w:pPr>
                              <w:pStyle w:val="Normal"/>
                              <w:ind w:right="87" w:hanging="0"/>
                              <w:jc w:val="center"/>
                              <w:rPr>
                                <w:sz w:val="28"/>
                                <w:szCs w:val="28"/>
                              </w:rPr>
                            </w:pPr>
                            <w:r>
                              <w:rPr>
                                <w:sz w:val="28"/>
                                <w:szCs w:val="28"/>
                              </w:rPr>
                              <w:t>Рисунок 1.3 – Окно «Загрузка геологической модели»</w:t>
                            </w:r>
                          </w:p>
                          <w:p>
                            <w:pPr>
                              <w:pStyle w:val="Normal"/>
                              <w:rPr>
                                <w:sz w:val="28"/>
                                <w:szCs w:val="28"/>
                              </w:rPr>
                            </w:pPr>
                            <w:r>
                              <w:rPr>
                                <w:sz w:val="28"/>
                                <w:szCs w:val="28"/>
                              </w:rPr>
                            </w:r>
                          </w:p>
                          <w:p>
                            <w:pPr>
                              <w:pStyle w:val="Normal"/>
                              <w:rPr/>
                            </w:pPr>
                            <w:r>
                              <w:rPr/>
                            </w:r>
                          </w:p>
                        </w:txbxContent>
                      </wps:txbx>
                      <wps:bodyPr anchor="t" lIns="91440" tIns="45720" rIns="91440" bIns="45720">
                        <a:noAutofit/>
                      </wps:bodyPr>
                    </wps:wsp>
                  </a:graphicData>
                </a:graphic>
              </wp:anchor>
            </w:drawing>
          </mc:Choice>
          <mc:Fallback>
            <w:pict>
              <v:rect fillcolor="#FFFFFF" strokecolor="#FFFFFF" strokeweight="0pt" style="position:absolute;rotation:0;width:469.55pt;height:135.45pt;mso-wrap-distance-left:9.05pt;mso-wrap-distance-right:9.05pt;mso-wrap-distance-top:0pt;mso-wrap-distance-bottom:0pt;margin-top:313.45pt;mso-position-vertical-relative:text;margin-left:-5.35pt;mso-position-horizontal-relative:text">
                <v:textbox>
                  <w:txbxContent>
                    <w:p>
                      <w:pPr>
                        <w:pStyle w:val="Normal"/>
                        <w:ind w:right="87" w:hanging="0"/>
                        <w:jc w:val="center"/>
                        <w:rPr/>
                      </w:pPr>
                      <w:r>
                        <w:rPr/>
                        <w:t xml:space="preserve">1 – инструмент выбора месторождения; 2 – инструмент выбора залежи; 3 – инструмент выбора стадии разработки; 4 – инструмент выбора загрузки разведывательных скважин;  5 – инструмент выбора загрузки подсчетных блоков  6 – настройка преобразования координат;  7 - список геолого-математических моделей; 8- список входящих в модель массивов;  9- область визуализации моделей и блоков; 10- инструмент выбора распределения области визуализации; 11- инструмент масштабирование области визуализации; </w:t>
                      </w:r>
                    </w:p>
                    <w:p>
                      <w:pPr>
                        <w:pStyle w:val="Normal"/>
                        <w:ind w:right="87" w:hanging="0"/>
                        <w:jc w:val="center"/>
                        <w:rPr/>
                      </w:pPr>
                      <w:r>
                        <w:rPr/>
                        <w:t>12- инструмент масштабирование области визуализации;</w:t>
                      </w:r>
                    </w:p>
                    <w:p>
                      <w:pPr>
                        <w:pStyle w:val="Normal"/>
                        <w:ind w:right="87" w:hanging="0"/>
                        <w:jc w:val="center"/>
                        <w:rPr>
                          <w:sz w:val="28"/>
                          <w:szCs w:val="28"/>
                        </w:rPr>
                      </w:pPr>
                      <w:r>
                        <w:rPr>
                          <w:sz w:val="28"/>
                          <w:szCs w:val="28"/>
                        </w:rPr>
                        <w:t>Рисунок 1.3 – Окно «Загрузка геологической модели»</w:t>
                      </w:r>
                    </w:p>
                    <w:p>
                      <w:pPr>
                        <w:pStyle w:val="Normal"/>
                        <w:rPr>
                          <w:sz w:val="28"/>
                          <w:szCs w:val="28"/>
                        </w:rPr>
                      </w:pPr>
                      <w:r>
                        <w:rPr>
                          <w:sz w:val="28"/>
                          <w:szCs w:val="28"/>
                        </w:rPr>
                      </w:r>
                    </w:p>
                    <w:p>
                      <w:pPr>
                        <w:pStyle w:val="Normal"/>
                        <w:rPr/>
                      </w:pPr>
                      <w:r>
                        <w:rPr/>
                      </w:r>
                    </w:p>
                  </w:txbxContent>
                </v:textbox>
                <w10:wrap type="none"/>
              </v:rect>
            </w:pict>
          </mc:Fallback>
        </mc:AlternateContent>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t>Программа загружает список геолого-математических моделей (7, рисунок 1.3), в соответствии с выбранным месторождением (1, рисунок 1.3), залежью (2, рисунок 1.3) и стадией разработки (3, рисунок 1.3).  При выборе геологической модели в области визуализации (9, рисунок 1.3) отображаются распределения физических величин для данной модели. Выбор отображаемого распределение осуществляется с помощью инструмента 10 (рисунок 1.3). Масштабирование области визуализации производится с помощью инструментов 11  (рисунок 1.3). С помощью кнопки 6 (рисунок 1.3) можно настраивать пересчет координат объектов модели. В области 9 (рисунок 1.3) отображаются рассчитанные для текущей модели распределения физических величин. Если необходимо импортировать разведывательные скважины или контура геологических подсчетных блоков, попадающих в область моделирования, необходимо поставить галочки 4 и 5 (рисунок 1.3). Для работы системы проектирования должны быть рассчитан 5 массивов: метропроцент, эффективная мощность, кровля рудовмещающего горизонта, подошва рудовмещающего горизонта, дневная поверхность. Если какое то из распределений отсутствует, то программа не позволит импортировать выбранную модель.</w:t>
      </w:r>
    </w:p>
    <w:p>
      <w:pPr>
        <w:pStyle w:val="Normal"/>
        <w:spacing w:lineRule="auto" w:line="360"/>
        <w:jc w:val="both"/>
        <w:rPr>
          <w:sz w:val="28"/>
          <w:szCs w:val="28"/>
        </w:rPr>
      </w:pPr>
      <w:r>
        <w:rPr>
          <w:sz w:val="28"/>
          <w:szCs w:val="28"/>
        </w:rPr>
      </w:r>
    </w:p>
    <w:p>
      <w:pPr>
        <w:pStyle w:val="14"/>
        <w:rPr/>
      </w:pPr>
      <w:bookmarkStart w:id="54" w:name="__RefHeading___Toc530495735"/>
      <w:bookmarkEnd w:id="54"/>
      <w:r>
        <w:rPr/>
        <w:t>1.4     Настройка отображения распределений физических величин</w:t>
      </w:r>
    </w:p>
    <w:p>
      <w:pPr>
        <w:pStyle w:val="Normal"/>
        <w:spacing w:lineRule="auto" w:line="360"/>
        <w:ind w:firstLine="720"/>
        <w:jc w:val="both"/>
        <w:rPr/>
      </w:pPr>
      <w:r>
        <w:rPr>
          <w:sz w:val="28"/>
          <w:szCs w:val="28"/>
        </w:rPr>
        <w:t xml:space="preserve">После импорта геолого-математической модели в строке 3 (рисунок 1.2) выбирается тип отображаемого распределения физических величин (их четыре: «Метропроцент», «Эффективная мощность», «Продуктивность» и «Содержание урана»). При смене типа распределения область проектирования будет автоматически перерисована. Для настройки изолиний выбранного распределения необходимо нажать кнопку 6 (рисунок 1.2). При нажатии появится модальное окно, в котором производится настройка изолиний (рисунок 1.4). С помощью данного окна можно производить настройку заливки, сглаживания, прозрачности, осуществлять настройку цветов изолиний, выставлять уровни изолиний. Для настройки заливки и сглаживания используются инструменты управления 1,3 (рисунок 1.4). Прозрачность выставляется с помощью бегунка 2 (рисунок 1.4). Изменение цвета изолиний осуществляется нажатием левой кнопкой мышки по соответствующим изолиниям полям ввода 4 (рисунок 1.4). Изменение значений изолиний производиться с помощью строк ввода 5 (рисунок 1.4). Настройка уровней изолиний осуществляется с помощью инструментов 6 (рисунок 1.4). Также можно осуществлять автоматическую настройку уровней изолиний. Для этого необходимо поставить галочку 6 (рисунок 1.4) и произвести ввод наименьшего и наибольшего значений изолиний, после чего следует нажать кнопку «Пересчитать изолинии». Настройка подписей изолиний осуществляется инструментами 10 (рисунок 1.4).  Для вступления изменений в силу необходимо закрыть модальное окно нажатием кнопки «Ок» (11, рисунок  1.4), после чего область проектирования будет перерисована. Для закрытия окна без применения изменений следует нажать кнопку «Отмена» (12, рисунок 1.4).  </w:t>
      </w:r>
    </w:p>
    <w:p>
      <w:pPr>
        <w:pStyle w:val="Normal"/>
        <w:spacing w:lineRule="auto" w:line="360"/>
        <w:ind w:firstLine="720"/>
        <w:jc w:val="both"/>
        <w:rPr>
          <w:sz w:val="28"/>
          <w:szCs w:val="28"/>
        </w:rPr>
      </w:pPr>
      <w:r>
        <w:rPr>
          <w:sz w:val="28"/>
          <w:szCs w:val="28"/>
        </w:rPr>
      </w:r>
    </w:p>
    <w:p>
      <w:pPr>
        <w:pStyle w:val="Normal"/>
        <w:spacing w:lineRule="auto" w:line="360"/>
        <w:jc w:val="both"/>
        <w:rPr>
          <w:sz w:val="28"/>
          <w:szCs w:val="28"/>
        </w:rPr>
      </w:pPr>
      <w:bookmarkStart w:id="55" w:name="_1604230762"/>
      <w:bookmarkStart w:id="56" w:name="_1478498379"/>
      <w:bookmarkStart w:id="57" w:name="_1446636337"/>
      <w:bookmarkStart w:id="58" w:name="_1446635038"/>
      <w:bookmarkEnd w:id="55"/>
      <w:bookmarkEnd w:id="56"/>
      <w:bookmarkEnd w:id="57"/>
      <w:bookmarkEnd w:id="58"/>
      <w:r>
        <w:rPr>
          <w:sz w:val="28"/>
          <w:szCs w:val="28"/>
        </w:rPr>
        <w:object w:dxaOrig="9720" w:dyaOrig="9252">
          <v:shapetype id="_x0000_t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_x0000_tole_rId11" style="width:468.95pt;height:389.95pt" filled="f" o:ole="">
            <v:imagedata r:id="rId12" o:title=""/>
          </v:shape>
          <o:OLEObject Type="Embed" ProgID="" ShapeID="ole_rId11" DrawAspect="Content" ObjectID="_231893179" r:id="rId11"/>
        </w:object>
      </w:r>
      <w:r>
        <mc:AlternateContent>
          <mc:Choice Requires="wps">
            <w:drawing>
              <wp:anchor behindDoc="0" distT="0" distB="0" distL="114935" distR="114935" simplePos="0" locked="0" layoutInCell="0" allowOverlap="1" relativeHeight="22">
                <wp:simplePos x="0" y="0"/>
                <wp:positionH relativeFrom="column">
                  <wp:posOffset>-183515</wp:posOffset>
                </wp:positionH>
                <wp:positionV relativeFrom="paragraph">
                  <wp:posOffset>4914265</wp:posOffset>
                </wp:positionV>
                <wp:extent cx="5963285" cy="1561465"/>
                <wp:effectExtent l="0" t="0" r="0" b="0"/>
                <wp:wrapNone/>
                <wp:docPr id="7" name="Врезка4"/>
                <a:graphic xmlns:a="http://schemas.openxmlformats.org/drawingml/2006/main">
                  <a:graphicData uri="http://schemas.microsoft.com/office/word/2010/wordprocessingShape">
                    <wps:wsp>
                      <wps:cNvSpPr txBox="1"/>
                      <wps:spPr>
                        <a:xfrm>
                          <a:off x="0" y="0"/>
                          <a:ext cx="5963285" cy="1561465"/>
                        </a:xfrm>
                        <a:prstGeom prst="rect"/>
                        <a:solidFill>
                          <a:srgbClr val="FFFFFF"/>
                        </a:solidFill>
                        <a:ln w="9525">
                          <a:solidFill>
                            <a:srgbClr val="FFFFFF"/>
                          </a:solidFill>
                        </a:ln>
                      </wps:spPr>
                      <wps:txbx>
                        <w:txbxContent>
                          <w:p>
                            <w:pPr>
                              <w:pStyle w:val="Normal"/>
                              <w:ind w:right="87" w:hanging="0"/>
                              <w:jc w:val="center"/>
                              <w:rPr/>
                            </w:pPr>
                            <w:r>
                              <w:rPr/>
                              <w:t>1 – инструменты настройки заливки; 2 – инструмент настройки прозрачности; 3 – инструменты настройки сглаживания; 4 – инструменты настройки цветов изолиний; 5- инструменты ввода уровней изолиний; 6 – инструменты настройки  уровней изолиний; 7 – инструменты автоматической настройки уровней изолиний; 8 – инструменты настройки цветовых переходов; 9 – кнопка «перерасчитать изолинии»; 10 – инструменты настройки подписей изолиний; 11 – кнопка «Ок»; 12 – кнопка «Отмена»</w:t>
                            </w:r>
                          </w:p>
                          <w:p>
                            <w:pPr>
                              <w:pStyle w:val="Normal"/>
                              <w:ind w:right="87" w:hanging="0"/>
                              <w:jc w:val="center"/>
                              <w:rPr/>
                            </w:pPr>
                            <w:r>
                              <w:rPr>
                                <w:sz w:val="28"/>
                                <w:szCs w:val="28"/>
                              </w:rPr>
                              <w:t>Рисунок 1.4 – Окно «Настройка: отображение массива»</w:t>
                            </w:r>
                          </w:p>
                          <w:p>
                            <w:pPr>
                              <w:pStyle w:val="Normal"/>
                              <w:rPr>
                                <w:sz w:val="28"/>
                                <w:szCs w:val="28"/>
                              </w:rPr>
                            </w:pPr>
                            <w:r>
                              <w:rPr>
                                <w:sz w:val="28"/>
                                <w:szCs w:val="28"/>
                              </w:rPr>
                            </w:r>
                          </w:p>
                        </w:txbxContent>
                      </wps:txbx>
                      <wps:bodyPr anchor="t" lIns="91440" tIns="45720" rIns="91440" bIns="45720">
                        <a:noAutofit/>
                      </wps:bodyPr>
                    </wps:wsp>
                  </a:graphicData>
                </a:graphic>
              </wp:anchor>
            </w:drawing>
          </mc:Choice>
          <mc:Fallback>
            <w:pict>
              <v:rect fillcolor="#FFFFFF" strokecolor="#FFFFFF" strokeweight="0pt" style="position:absolute;rotation:0;width:469.55pt;height:122.95pt;mso-wrap-distance-left:9.05pt;mso-wrap-distance-right:9.05pt;mso-wrap-distance-top:0pt;mso-wrap-distance-bottom:0pt;margin-top:386.95pt;mso-position-vertical-relative:text;margin-left:-14.45pt;mso-position-horizontal-relative:text">
                <v:textbox>
                  <w:txbxContent>
                    <w:p>
                      <w:pPr>
                        <w:pStyle w:val="Normal"/>
                        <w:ind w:right="87" w:hanging="0"/>
                        <w:jc w:val="center"/>
                        <w:rPr/>
                      </w:pPr>
                      <w:r>
                        <w:rPr/>
                        <w:t>1 – инструменты настройки заливки; 2 – инструмент настройки прозрачности; 3 – инструменты настройки сглаживания; 4 – инструменты настройки цветов изолиний; 5- инструменты ввода уровней изолиний; 6 – инструменты настройки  уровней изолиний; 7 – инструменты автоматической настройки уровней изолиний; 8 – инструменты настройки цветовых переходов; 9 – кнопка «перерасчитать изолинии»; 10 – инструменты настройки подписей изолиний; 11 – кнопка «Ок»; 12 – кнопка «Отмена»</w:t>
                      </w:r>
                    </w:p>
                    <w:p>
                      <w:pPr>
                        <w:pStyle w:val="Normal"/>
                        <w:ind w:right="87" w:hanging="0"/>
                        <w:jc w:val="center"/>
                        <w:rPr/>
                      </w:pPr>
                      <w:r>
                        <w:rPr>
                          <w:sz w:val="28"/>
                          <w:szCs w:val="28"/>
                        </w:rPr>
                        <w:t>Рисунок 1.4 – Окно «Настройка: отображение массива»</w:t>
                      </w:r>
                    </w:p>
                    <w:p>
                      <w:pPr>
                        <w:pStyle w:val="Normal"/>
                        <w:rPr>
                          <w:sz w:val="28"/>
                          <w:szCs w:val="28"/>
                        </w:rPr>
                      </w:pPr>
                      <w:r>
                        <w:rPr>
                          <w:sz w:val="28"/>
                          <w:szCs w:val="28"/>
                        </w:rPr>
                      </w:r>
                    </w:p>
                  </w:txbxContent>
                </v:textbox>
                <w10:wrap type="none"/>
              </v:rect>
            </w:pict>
          </mc:Fallback>
        </mc:AlternateContent>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14"/>
        <w:rPr/>
      </w:pPr>
      <w:bookmarkStart w:id="59" w:name="__RefHeading___Toc530495736"/>
      <w:bookmarkEnd w:id="59"/>
      <w:r>
        <w:rPr/>
        <w:t>1.5     Построение контура области вскрытия</w:t>
      </w:r>
    </w:p>
    <w:p>
      <w:pPr>
        <w:pStyle w:val="Normal"/>
        <w:spacing w:lineRule="auto" w:line="360"/>
        <w:ind w:firstLine="709"/>
        <w:jc w:val="both"/>
        <w:rPr/>
      </w:pPr>
      <w:r>
        <w:rPr>
          <w:sz w:val="28"/>
          <w:szCs w:val="28"/>
        </w:rPr>
        <w:t xml:space="preserve">Построение контура области вскрытия осуществляется на закладке «Геометризация». Инструменты построения и изменения контура представлены на рисунке 1.5. </w:t>
      </w:r>
    </w:p>
    <w:p>
      <w:pPr>
        <w:pStyle w:val="Normal"/>
        <w:spacing w:lineRule="auto" w:line="360"/>
        <w:jc w:val="center"/>
        <w:rPr>
          <w:sz w:val="28"/>
          <w:szCs w:val="28"/>
        </w:rPr>
      </w:pPr>
      <w:bookmarkStart w:id="60" w:name="_1604231169"/>
      <w:bookmarkStart w:id="61" w:name="_1604231031"/>
      <w:bookmarkStart w:id="62" w:name="_1512316646"/>
      <w:bookmarkStart w:id="63" w:name="_1478435323"/>
      <w:bookmarkStart w:id="64" w:name="_1478435255"/>
      <w:bookmarkStart w:id="65" w:name="_1478435187"/>
      <w:bookmarkEnd w:id="60"/>
      <w:bookmarkEnd w:id="61"/>
      <w:bookmarkEnd w:id="62"/>
      <w:bookmarkEnd w:id="63"/>
      <w:bookmarkEnd w:id="64"/>
      <w:bookmarkEnd w:id="65"/>
      <w:r>
        <w:rPr>
          <w:sz w:val="28"/>
          <w:szCs w:val="28"/>
        </w:rPr>
        <w:object w:dxaOrig="9720" w:dyaOrig="9252">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391.7pt;height:115.15pt" filled="f" o:ole="">
            <v:imagedata r:id="rId14" o:title=""/>
          </v:shape>
          <o:OLEObject Type="Embed" ProgID="" ShapeID="ole_rId13" DrawAspect="Content" ObjectID="_105267571" r:id="rId13"/>
        </w:object>
      </w:r>
      <w:r>
        <mc:AlternateContent>
          <mc:Choice Requires="wps">
            <w:drawing>
              <wp:anchor behindDoc="0" distT="0" distB="0" distL="114935" distR="114935" simplePos="0" locked="0" layoutInCell="0" allowOverlap="1" relativeHeight="28">
                <wp:simplePos x="0" y="0"/>
                <wp:positionH relativeFrom="column">
                  <wp:posOffset>-635</wp:posOffset>
                </wp:positionH>
                <wp:positionV relativeFrom="paragraph">
                  <wp:posOffset>1503045</wp:posOffset>
                </wp:positionV>
                <wp:extent cx="5963285" cy="1492250"/>
                <wp:effectExtent l="0" t="0" r="0" b="0"/>
                <wp:wrapNone/>
                <wp:docPr id="8" name="Врезка5"/>
                <a:graphic xmlns:a="http://schemas.openxmlformats.org/drawingml/2006/main">
                  <a:graphicData uri="http://schemas.microsoft.com/office/word/2010/wordprocessingShape">
                    <wps:wsp>
                      <wps:cNvSpPr txBox="1"/>
                      <wps:spPr>
                        <a:xfrm>
                          <a:off x="0" y="0"/>
                          <a:ext cx="5963285" cy="1492250"/>
                        </a:xfrm>
                        <a:prstGeom prst="rect"/>
                        <a:solidFill>
                          <a:srgbClr val="FFFFFF"/>
                        </a:solidFill>
                        <a:ln w="9525">
                          <a:solidFill>
                            <a:srgbClr val="FFFFFF"/>
                          </a:solidFill>
                        </a:ln>
                      </wps:spPr>
                      <wps:txbx>
                        <w:txbxContent>
                          <w:p>
                            <w:pPr>
                              <w:pStyle w:val="Normal"/>
                              <w:ind w:right="87" w:hanging="0"/>
                              <w:jc w:val="center"/>
                              <w:rPr/>
                            </w:pPr>
                            <w:r>
                              <w:rPr/>
                              <w:t>1- кнопка «Отменить изменения»; 2- кнопка «Повторить изменения»; 3 – инструмент перемещения имени разведывательных скважин; 4 – инструмент построения контура области вскрытия  5 – инструмент перемещения точки контура области вскрытия; 6 – инструмент удаления точки контура области вскрытия; 7 – инструмент добавления точки контура области вскрытия; 8 – инструмент выделения контура области вскрытия на основе изолиний метропроцента.</w:t>
                            </w:r>
                          </w:p>
                          <w:p>
                            <w:pPr>
                              <w:pStyle w:val="Normal"/>
                              <w:ind w:right="87" w:hanging="0"/>
                              <w:jc w:val="center"/>
                              <w:rPr>
                                <w:sz w:val="28"/>
                                <w:szCs w:val="28"/>
                              </w:rPr>
                            </w:pPr>
                            <w:r>
                              <w:rPr>
                                <w:sz w:val="28"/>
                                <w:szCs w:val="28"/>
                              </w:rPr>
                              <w:t>Рисунок 1.5 – Инструменты создания и редактирования области вскрытия</w:t>
                            </w:r>
                          </w:p>
                          <w:p>
                            <w:pPr>
                              <w:pStyle w:val="Normal"/>
                              <w:rPr>
                                <w:sz w:val="28"/>
                                <w:szCs w:val="28"/>
                              </w:rPr>
                            </w:pPr>
                            <w:r>
                              <w:rPr>
                                <w:sz w:val="28"/>
                                <w:szCs w:val="28"/>
                              </w:rPr>
                            </w:r>
                          </w:p>
                        </w:txbxContent>
                      </wps:txbx>
                      <wps:bodyPr anchor="t" lIns="91440" tIns="45720" rIns="91440" bIns="45720">
                        <a:noAutofit/>
                      </wps:bodyPr>
                    </wps:wsp>
                  </a:graphicData>
                </a:graphic>
              </wp:anchor>
            </w:drawing>
          </mc:Choice>
          <mc:Fallback>
            <w:pict>
              <v:rect fillcolor="#FFFFFF" strokecolor="#FFFFFF" strokeweight="0pt" style="position:absolute;rotation:0;width:469.55pt;height:117.5pt;mso-wrap-distance-left:9.05pt;mso-wrap-distance-right:9.05pt;mso-wrap-distance-top:0pt;mso-wrap-distance-bottom:0pt;margin-top:118.35pt;mso-position-vertical-relative:text;margin-left:-0.05pt;mso-position-horizontal-relative:text">
                <v:textbox>
                  <w:txbxContent>
                    <w:p>
                      <w:pPr>
                        <w:pStyle w:val="Normal"/>
                        <w:ind w:right="87" w:hanging="0"/>
                        <w:jc w:val="center"/>
                        <w:rPr/>
                      </w:pPr>
                      <w:r>
                        <w:rPr/>
                        <w:t>1- кнопка «Отменить изменения»; 2- кнопка «Повторить изменения»; 3 – инструмент перемещения имени разведывательных скважин; 4 – инструмент построения контура области вскрытия  5 – инструмент перемещения точки контура области вскрытия; 6 – инструмент удаления точки контура области вскрытия; 7 – инструмент добавления точки контура области вскрытия; 8 – инструмент выделения контура области вскрытия на основе изолиний метропроцента.</w:t>
                      </w:r>
                    </w:p>
                    <w:p>
                      <w:pPr>
                        <w:pStyle w:val="Normal"/>
                        <w:ind w:right="87" w:hanging="0"/>
                        <w:jc w:val="center"/>
                        <w:rPr>
                          <w:sz w:val="28"/>
                          <w:szCs w:val="28"/>
                        </w:rPr>
                      </w:pPr>
                      <w:r>
                        <w:rPr>
                          <w:sz w:val="28"/>
                          <w:szCs w:val="28"/>
                        </w:rPr>
                        <w:t>Рисунок 1.5 – Инструменты создания и редактирования области вскрытия</w:t>
                      </w:r>
                    </w:p>
                    <w:p>
                      <w:pPr>
                        <w:pStyle w:val="Normal"/>
                        <w:rPr>
                          <w:sz w:val="28"/>
                          <w:szCs w:val="28"/>
                        </w:rPr>
                      </w:pPr>
                      <w:r>
                        <w:rPr>
                          <w:sz w:val="28"/>
                          <w:szCs w:val="28"/>
                        </w:rPr>
                      </w:r>
                    </w:p>
                  </w:txbxContent>
                </v:textbox>
                <w10:wrap type="none"/>
              </v:rect>
            </w:pict>
          </mc:Fallback>
        </mc:AlternateContent>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ind w:firstLine="709"/>
        <w:jc w:val="both"/>
        <w:rPr/>
      </w:pPr>
      <w:r>
        <w:rPr>
          <w:sz w:val="28"/>
          <w:szCs w:val="28"/>
        </w:rPr>
        <w:t xml:space="preserve">Для добавления или удаления области вскрытия необходимо нажать кнопки 9,11 (рисунок 1.2). После добавления области появится модальное окно, в котором нужно ввести имя области. Все добавленные контура геологических блоков выводятся в списке областей вскрытия 8 (рисунок 1.2). Построение контура области вскрытия может осуществляется пользователем, либо в качестве такой области может быть использован импортированный из базы геологических данных контур геологического подсчетного блока. Для построения блока необходимо нажать кнопку 4 (рисунок 1.5), нужно путем нажатия левой кнопки мышки над областью проектирования добавить точки контура. Для добавления последней точки контура и завершения построения контура необходимо дважды щелкнуть левой кнопкой в области проектирования в одной и том же месте. </w:t>
      </w:r>
    </w:p>
    <w:p>
      <w:pPr>
        <w:pStyle w:val="Normal"/>
        <w:spacing w:lineRule="auto" w:line="360"/>
        <w:ind w:firstLine="709"/>
        <w:jc w:val="both"/>
        <w:rPr>
          <w:sz w:val="28"/>
          <w:szCs w:val="28"/>
        </w:rPr>
      </w:pPr>
      <w:r>
        <w:rPr>
          <w:sz w:val="28"/>
          <w:szCs w:val="28"/>
        </w:rPr>
        <w:t>Для редактирования существующих областей необходимо выделить область вскрытия в списке. После этого необходимо выбрать один из инструментов редактирования: перемещение точки контура (5, рисунок 1.5); удаление точки контура(7, рисунок 1.5); добавление точки контура(6, рисунок 1.5). При перемещении точки необходимо поднести курсор к интересующей точке контура, нажать левую кнопку мыши и удерживая кнопку нажатой перетащить точку в новое положение. Удаление точек производится путем однократного нажатия левой кнопкой мыши над выбранной точкой, после чего появляется окно с подтверждением удаления. Для добавления точки контура необходимо щелкнуть левой кнопкой мышки рядом с отрезком контура, на который нужно добавить точку. Добавленная точка размещается по середине отрезка. Для построении контура области вскрытия в программе присутствует инструмент полуавтоматического выделения контура. Данный инструмент позволяет нарисовать вспомогательный контур, после построения которого будет построен контур области вскрытия по балансовому значению метропроцента, на основе данных, попавших во вспомогательный контур. Для применения этого инструмента необходимо нажать кнопку 8 (рисунок 1.5) и построить вспомогательный контур аналогично контуру области вскрытия.</w:t>
      </w:r>
    </w:p>
    <w:p>
      <w:pPr>
        <w:pStyle w:val="Normal"/>
        <w:spacing w:lineRule="auto" w:line="360"/>
        <w:ind w:firstLine="709"/>
        <w:jc w:val="both"/>
        <w:rPr>
          <w:sz w:val="28"/>
          <w:szCs w:val="28"/>
        </w:rPr>
      </w:pPr>
      <w:r>
        <w:rPr>
          <w:sz w:val="28"/>
          <w:szCs w:val="28"/>
        </w:rPr>
        <w:t>Кнопки 1 и 2 позволяют отменить или повторить изменения сделанные пользователем. Программа запоминает 20 последовательных действий.</w:t>
      </w:r>
    </w:p>
    <w:p>
      <w:pPr>
        <w:pStyle w:val="Normal"/>
        <w:spacing w:lineRule="auto" w:line="360"/>
        <w:ind w:firstLine="709"/>
        <w:jc w:val="both"/>
        <w:rPr>
          <w:sz w:val="28"/>
          <w:szCs w:val="28"/>
        </w:rPr>
      </w:pPr>
      <w:r>
        <w:rPr>
          <w:sz w:val="28"/>
          <w:szCs w:val="28"/>
        </w:rPr>
        <w:t>Чтобы посмотреть координаты или изменить имя созданного ранее контура геологического блока необходимо щелкнуть правой кнопкой мышки на интересующем блоке в списке 8 (рисунок 1.2), после чего нажать на кнопку 10 (рисунок 1.2), в результате появится модальное окно «Свойства контура».</w:t>
      </w:r>
    </w:p>
    <w:p>
      <w:pPr>
        <w:pStyle w:val="Normal"/>
        <w:spacing w:lineRule="auto" w:line="360"/>
        <w:ind w:firstLine="709"/>
        <w:jc w:val="both"/>
        <w:rPr>
          <w:sz w:val="28"/>
          <w:szCs w:val="28"/>
        </w:rPr>
      </w:pPr>
      <w:r>
        <w:rPr>
          <w:sz w:val="28"/>
          <w:szCs w:val="28"/>
        </w:rPr>
      </w:r>
    </w:p>
    <w:p>
      <w:pPr>
        <w:pStyle w:val="14"/>
        <w:rPr/>
      </w:pPr>
      <w:bookmarkStart w:id="66" w:name="__RefHeading___Toc530495737"/>
      <w:bookmarkEnd w:id="66"/>
      <w:r>
        <w:rPr/>
        <w:t>1.6     Свойства геологического блока</w:t>
      </w:r>
    </w:p>
    <w:p>
      <w:pPr>
        <w:pStyle w:val="Normal"/>
        <w:spacing w:lineRule="auto" w:line="360"/>
        <w:ind w:firstLine="709"/>
        <w:jc w:val="both"/>
        <w:rPr/>
      </w:pPr>
      <w:r>
        <w:rPr>
          <w:sz w:val="28"/>
          <w:szCs w:val="28"/>
        </w:rPr>
        <w:t>Изменение свойств контура геологического блока осуществляется в окне «Свойства контура». Внешний вид окна представлен на рисунке 1.6.</w:t>
      </w:r>
    </w:p>
    <w:p>
      <w:pPr>
        <w:pStyle w:val="Normal"/>
        <w:spacing w:lineRule="auto" w:line="360"/>
        <w:jc w:val="both"/>
        <w:rPr>
          <w:sz w:val="28"/>
          <w:szCs w:val="28"/>
        </w:rPr>
      </w:pPr>
      <w:bookmarkStart w:id="67" w:name="_1604231979"/>
      <w:bookmarkStart w:id="68" w:name="_1540633390"/>
      <w:bookmarkStart w:id="69" w:name="_1478437024"/>
      <w:bookmarkEnd w:id="67"/>
      <w:bookmarkEnd w:id="68"/>
      <w:bookmarkEnd w:id="69"/>
      <w:r>
        <w:rPr>
          <w:sz w:val="28"/>
          <w:szCs w:val="28"/>
        </w:rPr>
        <w:object w:dxaOrig="9720" w:dyaOrig="9252">
          <v:shapetype id="_x0000_tole_rId15" coordsize="21600,21600" o:spt="ole_rId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 type="_x0000_tole_rId15" style="width:469.45pt;height:221.55pt" filled="f" o:ole="">
            <v:imagedata r:id="rId16" o:title=""/>
          </v:shape>
          <o:OLEObject Type="Embed" ProgID="" ShapeID="ole_rId15" DrawAspect="Content" ObjectID="_994836427" r:id="rId15"/>
        </w:object>
      </w:r>
      <w:r>
        <mc:AlternateContent>
          <mc:Choice Requires="wps">
            <w:drawing>
              <wp:anchor behindDoc="0" distT="0" distB="0" distL="114935" distR="114935" simplePos="0" locked="0" layoutInCell="0" allowOverlap="1" relativeHeight="30">
                <wp:simplePos x="0" y="0"/>
                <wp:positionH relativeFrom="column">
                  <wp:posOffset>-76200</wp:posOffset>
                </wp:positionH>
                <wp:positionV relativeFrom="paragraph">
                  <wp:posOffset>2817495</wp:posOffset>
                </wp:positionV>
                <wp:extent cx="5963285" cy="636270"/>
                <wp:effectExtent l="0" t="0" r="0" b="0"/>
                <wp:wrapNone/>
                <wp:docPr id="9" name="Врезка6"/>
                <a:graphic xmlns:a="http://schemas.openxmlformats.org/drawingml/2006/main">
                  <a:graphicData uri="http://schemas.microsoft.com/office/word/2010/wordprocessingShape">
                    <wps:wsp>
                      <wps:cNvSpPr txBox="1"/>
                      <wps:spPr>
                        <a:xfrm>
                          <a:off x="0" y="0"/>
                          <a:ext cx="5963285" cy="636270"/>
                        </a:xfrm>
                        <a:prstGeom prst="rect"/>
                        <a:solidFill>
                          <a:srgbClr val="FFFFFF"/>
                        </a:solidFill>
                        <a:ln w="9525">
                          <a:solidFill>
                            <a:srgbClr val="FFFFFF"/>
                          </a:solidFill>
                        </a:ln>
                      </wps:spPr>
                      <wps:txbx>
                        <w:txbxContent>
                          <w:p>
                            <w:pPr>
                              <w:pStyle w:val="Normal"/>
                              <w:ind w:right="87" w:hanging="0"/>
                              <w:jc w:val="center"/>
                              <w:rPr/>
                            </w:pPr>
                            <w:r>
                              <w:rPr/>
                              <w:t>1 – поле ввода имени области вскрытия 2 - инструмент изменения статуса отображения области вскрытия; 3 – координаты точек контура области вскрытия.</w:t>
                            </w:r>
                          </w:p>
                          <w:p>
                            <w:pPr>
                              <w:pStyle w:val="Normal"/>
                              <w:ind w:right="87" w:hanging="0"/>
                              <w:jc w:val="center"/>
                              <w:rPr>
                                <w:sz w:val="28"/>
                                <w:szCs w:val="28"/>
                              </w:rPr>
                            </w:pPr>
                            <w:r>
                              <w:rPr>
                                <w:sz w:val="28"/>
                                <w:szCs w:val="28"/>
                              </w:rPr>
                              <w:t>Рисунок 1.6 – Окно «Свойства контура»</w:t>
                            </w:r>
                          </w:p>
                          <w:p>
                            <w:pPr>
                              <w:pStyle w:val="Normal"/>
                              <w:rPr>
                                <w:sz w:val="28"/>
                                <w:szCs w:val="28"/>
                              </w:rPr>
                            </w:pPr>
                            <w:r>
                              <w:rPr>
                                <w:sz w:val="28"/>
                                <w:szCs w:val="28"/>
                              </w:rPr>
                            </w:r>
                          </w:p>
                        </w:txbxContent>
                      </wps:txbx>
                      <wps:bodyPr anchor="t" lIns="91440" tIns="45720" rIns="91440" bIns="45720">
                        <a:noAutofit/>
                      </wps:bodyPr>
                    </wps:wsp>
                  </a:graphicData>
                </a:graphic>
              </wp:anchor>
            </w:drawing>
          </mc:Choice>
          <mc:Fallback>
            <w:pict>
              <v:rect fillcolor="#FFFFFF" strokecolor="#FFFFFF" strokeweight="0pt" style="position:absolute;rotation:0;width:469.55pt;height:50.1pt;mso-wrap-distance-left:9.05pt;mso-wrap-distance-right:9.05pt;mso-wrap-distance-top:0pt;mso-wrap-distance-bottom:0pt;margin-top:221.85pt;mso-position-vertical-relative:text;margin-left:-6pt;mso-position-horizontal-relative:text">
                <v:textbox>
                  <w:txbxContent>
                    <w:p>
                      <w:pPr>
                        <w:pStyle w:val="Normal"/>
                        <w:ind w:right="87" w:hanging="0"/>
                        <w:jc w:val="center"/>
                        <w:rPr/>
                      </w:pPr>
                      <w:r>
                        <w:rPr/>
                        <w:t>1 – поле ввода имени области вскрытия 2 - инструмент изменения статуса отображения области вскрытия; 3 – координаты точек контура области вскрытия.</w:t>
                      </w:r>
                    </w:p>
                    <w:p>
                      <w:pPr>
                        <w:pStyle w:val="Normal"/>
                        <w:ind w:right="87" w:hanging="0"/>
                        <w:jc w:val="center"/>
                        <w:rPr>
                          <w:sz w:val="28"/>
                          <w:szCs w:val="28"/>
                        </w:rPr>
                      </w:pPr>
                      <w:r>
                        <w:rPr>
                          <w:sz w:val="28"/>
                          <w:szCs w:val="28"/>
                        </w:rPr>
                        <w:t>Рисунок 1.6 – Окно «Свойства контура»</w:t>
                      </w:r>
                    </w:p>
                    <w:p>
                      <w:pPr>
                        <w:pStyle w:val="Normal"/>
                        <w:rPr>
                          <w:sz w:val="28"/>
                          <w:szCs w:val="28"/>
                        </w:rPr>
                      </w:pPr>
                      <w:r>
                        <w:rPr>
                          <w:sz w:val="28"/>
                          <w:szCs w:val="28"/>
                        </w:rPr>
                      </w:r>
                    </w:p>
                  </w:txbxContent>
                </v:textbox>
                <w10:wrap type="none"/>
              </v:rect>
            </w:pict>
          </mc:Fallback>
        </mc:AlternateContent>
      </w:r>
    </w:p>
    <w:p>
      <w:pPr>
        <w:pStyle w:val="Normal"/>
        <w:spacing w:lineRule="auto" w:line="360"/>
        <w:ind w:firstLine="709"/>
        <w:jc w:val="both"/>
        <w:rPr>
          <w:sz w:val="28"/>
          <w:szCs w:val="28"/>
        </w:rPr>
      </w:pPr>
      <w:r>
        <w:rPr>
          <w:sz w:val="28"/>
          <w:szCs w:val="28"/>
        </w:rPr>
      </w:r>
    </w:p>
    <w:p>
      <w:pPr>
        <w:pStyle w:val="Normal"/>
        <w:spacing w:lineRule="auto" w:line="360"/>
        <w:jc w:val="both"/>
        <w:rPr>
          <w:sz w:val="28"/>
          <w:szCs w:val="28"/>
        </w:rPr>
      </w:pPr>
      <w:r>
        <w:rPr>
          <w:sz w:val="28"/>
          <w:szCs w:val="28"/>
        </w:rPr>
        <w:t>Имя выбранного контура отображается в строке ввода 1 (рисунок 1.6), для изменения имени необходимо ввести новое имя контура в строку ввода. Помимо этого в свойствах контура с помощью инструмента 2 (рисунок 1.6) можно установить отображать или не отображать контур области вскрытия в области проектирования. После нажатия кнопки «Ок» все изменения вступают в силу, если нажать кнопку «Отмена» все настройки будут сброшены. Изменение координат контура можно осуществлять с помощью таблицы 3 (рисунок .1.6).</w:t>
      </w:r>
    </w:p>
    <w:p>
      <w:pPr>
        <w:pStyle w:val="Normal"/>
        <w:spacing w:lineRule="auto" w:line="360"/>
        <w:jc w:val="both"/>
        <w:rPr>
          <w:sz w:val="28"/>
          <w:szCs w:val="28"/>
        </w:rPr>
      </w:pPr>
      <w:r>
        <w:rPr>
          <w:sz w:val="28"/>
          <w:szCs w:val="28"/>
        </w:rPr>
      </w:r>
    </w:p>
    <w:p>
      <w:pPr>
        <w:pStyle w:val="14"/>
        <w:rPr/>
      </w:pPr>
      <w:bookmarkStart w:id="70" w:name="__RefHeading___Toc530495738"/>
      <w:bookmarkEnd w:id="70"/>
      <w:r>
        <w:rPr/>
        <w:t>1.7     Построение осевой линии контура</w:t>
      </w:r>
    </w:p>
    <w:p>
      <w:pPr>
        <w:pStyle w:val="Normal"/>
        <w:spacing w:lineRule="auto" w:line="360"/>
        <w:ind w:firstLine="709"/>
        <w:jc w:val="both"/>
        <w:rPr/>
      </w:pPr>
      <w:r>
        <w:rPr>
          <w:sz w:val="28"/>
          <w:szCs w:val="28"/>
        </w:rPr>
        <w:t xml:space="preserve">Построение осевой линии для контура осуществляется на вкладке «Схема вскрытия». Инструменты построения и изменения контура представлены на рисунке 1.7. </w:t>
      </w:r>
    </w:p>
    <w:p>
      <w:pPr>
        <w:pStyle w:val="Normal"/>
        <w:spacing w:lineRule="auto" w:line="360"/>
        <w:jc w:val="both"/>
        <w:rPr>
          <w:sz w:val="28"/>
          <w:szCs w:val="28"/>
        </w:rPr>
      </w:pPr>
      <w:bookmarkStart w:id="71" w:name="_1604232421"/>
      <w:bookmarkStart w:id="72" w:name="_1512317275"/>
      <w:bookmarkStart w:id="73" w:name="_1512317260"/>
      <w:bookmarkStart w:id="74" w:name="_1512317206"/>
      <w:bookmarkStart w:id="75" w:name="_1478437703"/>
      <w:bookmarkEnd w:id="71"/>
      <w:bookmarkEnd w:id="72"/>
      <w:bookmarkEnd w:id="73"/>
      <w:bookmarkEnd w:id="74"/>
      <w:bookmarkEnd w:id="75"/>
      <w:r>
        <w:rPr>
          <w:sz w:val="28"/>
          <w:szCs w:val="28"/>
        </w:rPr>
        <w:object w:dxaOrig="9720" w:dyaOrig="9252">
          <v:shapetype id="_x0000_tole_rId17" coordsize="21600,21600" o:spt="ole_rId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 type="_x0000_tole_rId17" style="width:469.45pt;height:59.65pt" filled="f" o:ole="">
            <v:imagedata r:id="rId18" o:title=""/>
          </v:shape>
          <o:OLEObject Type="Embed" ProgID="" ShapeID="ole_rId17" DrawAspect="Content" ObjectID="_1478121586" r:id="rId17"/>
        </w:object>
      </w:r>
      <w:r>
        <mc:AlternateContent>
          <mc:Choice Requires="wps">
            <w:drawing>
              <wp:anchor behindDoc="0" distT="0" distB="0" distL="114935" distR="114935" simplePos="0" locked="0" layoutInCell="0" allowOverlap="1" relativeHeight="29">
                <wp:simplePos x="0" y="0"/>
                <wp:positionH relativeFrom="column">
                  <wp:posOffset>-59690</wp:posOffset>
                </wp:positionH>
                <wp:positionV relativeFrom="paragraph">
                  <wp:posOffset>734695</wp:posOffset>
                </wp:positionV>
                <wp:extent cx="6139815" cy="827405"/>
                <wp:effectExtent l="0" t="0" r="0" b="0"/>
                <wp:wrapNone/>
                <wp:docPr id="10" name="Врезка7"/>
                <a:graphic xmlns:a="http://schemas.openxmlformats.org/drawingml/2006/main">
                  <a:graphicData uri="http://schemas.microsoft.com/office/word/2010/wordprocessingShape">
                    <wps:wsp>
                      <wps:cNvSpPr txBox="1"/>
                      <wps:spPr>
                        <a:xfrm>
                          <a:off x="0" y="0"/>
                          <a:ext cx="6139815" cy="827405"/>
                        </a:xfrm>
                        <a:prstGeom prst="rect"/>
                        <a:solidFill>
                          <a:srgbClr val="FFFFFF"/>
                        </a:solidFill>
                        <a:ln w="9525">
                          <a:solidFill>
                            <a:srgbClr val="FFFFFF"/>
                          </a:solidFill>
                        </a:ln>
                      </wps:spPr>
                      <wps:txbx>
                        <w:txbxContent>
                          <w:p>
                            <w:pPr>
                              <w:pStyle w:val="Normal"/>
                              <w:ind w:right="87" w:hanging="0"/>
                              <w:jc w:val="center"/>
                              <w:rPr/>
                            </w:pPr>
                            <w:r>
                              <w:rPr/>
                              <w:t>1 – инструмент построения осевой линии; 2 – инструмент изменения направления осевой линии; 3 – инструмент перемещения точки осевой; 3 – инструмент добавления точки осевой лини; 4 – инструмент удаления точки осевой; 5 – автопостроение осевой линии;</w:t>
                            </w:r>
                          </w:p>
                          <w:p>
                            <w:pPr>
                              <w:pStyle w:val="Normal"/>
                              <w:ind w:right="87" w:hanging="0"/>
                              <w:jc w:val="center"/>
                              <w:rPr>
                                <w:sz w:val="28"/>
                                <w:szCs w:val="28"/>
                              </w:rPr>
                            </w:pPr>
                            <w:r>
                              <w:rPr>
                                <w:sz w:val="28"/>
                                <w:szCs w:val="28"/>
                              </w:rPr>
                              <w:t>Рисунок 1.7 – Инструменты создания и редактирования осевых линий</w:t>
                            </w:r>
                          </w:p>
                          <w:p>
                            <w:pPr>
                              <w:pStyle w:val="Normal"/>
                              <w:rPr>
                                <w:sz w:val="28"/>
                                <w:szCs w:val="28"/>
                              </w:rPr>
                            </w:pPr>
                            <w:r>
                              <w:rPr>
                                <w:sz w:val="28"/>
                                <w:szCs w:val="28"/>
                              </w:rPr>
                            </w:r>
                          </w:p>
                        </w:txbxContent>
                      </wps:txbx>
                      <wps:bodyPr anchor="t" lIns="91440" tIns="45720" rIns="91440" bIns="45720">
                        <a:noAutofit/>
                      </wps:bodyPr>
                    </wps:wsp>
                  </a:graphicData>
                </a:graphic>
              </wp:anchor>
            </w:drawing>
          </mc:Choice>
          <mc:Fallback>
            <w:pict>
              <v:rect fillcolor="#FFFFFF" strokecolor="#FFFFFF" strokeweight="0pt" style="position:absolute;rotation:0;width:483.45pt;height:65.15pt;mso-wrap-distance-left:9.05pt;mso-wrap-distance-right:9.05pt;mso-wrap-distance-top:0pt;mso-wrap-distance-bottom:0pt;margin-top:57.85pt;mso-position-vertical-relative:text;margin-left:-4.7pt;mso-position-horizontal-relative:text">
                <v:textbox>
                  <w:txbxContent>
                    <w:p>
                      <w:pPr>
                        <w:pStyle w:val="Normal"/>
                        <w:ind w:right="87" w:hanging="0"/>
                        <w:jc w:val="center"/>
                        <w:rPr/>
                      </w:pPr>
                      <w:r>
                        <w:rPr/>
                        <w:t>1 – инструмент построения осевой линии; 2 – инструмент изменения направления осевой линии; 3 – инструмент перемещения точки осевой; 3 – инструмент добавления точки осевой лини; 4 – инструмент удаления точки осевой; 5 – автопостроение осевой линии;</w:t>
                      </w:r>
                    </w:p>
                    <w:p>
                      <w:pPr>
                        <w:pStyle w:val="Normal"/>
                        <w:ind w:right="87" w:hanging="0"/>
                        <w:jc w:val="center"/>
                        <w:rPr>
                          <w:sz w:val="28"/>
                          <w:szCs w:val="28"/>
                        </w:rPr>
                      </w:pPr>
                      <w:r>
                        <w:rPr>
                          <w:sz w:val="28"/>
                          <w:szCs w:val="28"/>
                        </w:rPr>
                        <w:t>Рисунок 1.7 – Инструменты создания и редактирования осевых линий</w:t>
                      </w:r>
                    </w:p>
                    <w:p>
                      <w:pPr>
                        <w:pStyle w:val="Normal"/>
                        <w:rPr>
                          <w:sz w:val="28"/>
                          <w:szCs w:val="28"/>
                        </w:rPr>
                      </w:pPr>
                      <w:r>
                        <w:rPr>
                          <w:sz w:val="28"/>
                          <w:szCs w:val="28"/>
                        </w:rPr>
                      </w:r>
                    </w:p>
                  </w:txbxContent>
                </v:textbox>
                <w10:wrap type="none"/>
              </v:rect>
            </w:pict>
          </mc:Fallback>
        </mc:AlternateContent>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ind w:firstLine="709"/>
        <w:jc w:val="both"/>
        <w:rPr>
          <w:sz w:val="28"/>
          <w:szCs w:val="28"/>
        </w:rPr>
      </w:pPr>
      <w:r>
        <w:rPr>
          <w:sz w:val="28"/>
          <w:szCs w:val="28"/>
        </w:rPr>
        <w:t xml:space="preserve">Построение осевой линии осуществляется пользователем. Для построения осевой необходимо нажать кнопку 1 (рисунок 1.7), нужно путем нажатия левой кнопки мышки над областью проектирования добавить точки новой осевой линии. В процессе построения пунктирной линией рисуется направление рядов для поперечной рядной схемы, расстояние между линиями соответствует расстоянию между рядами. Осевая линия должна пересекать контур как минимум в 2 точках. Положения точек пересечения учитываются при автоматическом построении блока. Для добавления последней точки осевой и завершения построения линии необходимо щелкнуть левой кнопкой мышки два раза. </w:t>
      </w:r>
    </w:p>
    <w:p>
      <w:pPr>
        <w:pStyle w:val="Normal"/>
        <w:spacing w:lineRule="auto" w:line="360"/>
        <w:ind w:firstLine="709"/>
        <w:jc w:val="both"/>
        <w:rPr>
          <w:sz w:val="28"/>
          <w:szCs w:val="28"/>
        </w:rPr>
      </w:pPr>
      <w:r>
        <w:rPr>
          <w:sz w:val="28"/>
          <w:szCs w:val="28"/>
        </w:rPr>
        <w:t>Для редактирования существующей осевой линии необходимо выделить блок, к которому осевая относится, в списке областей вскрытия. После этого необходимо выбрать один из инструментов редактирования: перемещение точки осевой (3, рисунок 1.7); удаление точки осевой (5, рисунок 1.7); добавление точки осевой (4, рисунок 1.7). При перемещении точки необходимо поднести курсор к интересующей точке осевой, нажать левую кнопку мыши и удерживая кнопку нажатой перетащить точку в новое положение. Удаление точек производится путем нажатия левой кнопкой мыши над выбранной точкой, после чего появляется окно с подтверждением удаления. Для добавления точки осевой необходимо щелкнуть левой кнопкой мышки рядом с отрезком осевой, на который нужно добавить точку. Добавленная точка размещается по середине отрезка. При построении новой осевой линии старая осевая линия удаляется. Направление осевой линии учитывается при автоматическом построении рядных схем вскрытия, для изменения направления осевой линии необходимо однократно нажать кнопку 2 (рисунок 1.7).</w:t>
      </w:r>
    </w:p>
    <w:p>
      <w:pPr>
        <w:pStyle w:val="Normal"/>
        <w:spacing w:lineRule="auto" w:line="360"/>
        <w:ind w:firstLine="709"/>
        <w:jc w:val="both"/>
        <w:rPr>
          <w:sz w:val="28"/>
          <w:szCs w:val="28"/>
        </w:rPr>
      </w:pPr>
      <w:r>
        <w:rPr>
          <w:sz w:val="28"/>
          <w:szCs w:val="28"/>
        </w:rPr>
      </w:r>
    </w:p>
    <w:p>
      <w:pPr>
        <w:pStyle w:val="14"/>
        <w:rPr/>
      </w:pPr>
      <w:bookmarkStart w:id="76" w:name="__RefHeading___Toc530495739"/>
      <w:bookmarkEnd w:id="76"/>
      <w:r>
        <w:rPr/>
        <w:t>1.8     Создание эксплуатационного блока</w:t>
      </w:r>
    </w:p>
    <w:p>
      <w:pPr>
        <w:pStyle w:val="Normal"/>
        <w:spacing w:lineRule="auto" w:line="360"/>
        <w:ind w:firstLine="709"/>
        <w:jc w:val="both"/>
        <w:rPr/>
      </w:pPr>
      <w:r>
        <w:rPr>
          <w:sz w:val="28"/>
          <w:szCs w:val="28"/>
        </w:rPr>
        <w:t>Создание эксплуатационного блока может осуществляться в ручном или автоматическом режиме и производится на вкладке «Схема вскрытия».  Ручное построение блока осуществляется с помощью примитивов технологических ячеек. Инструменты построения представлены на рисунке 1.10.</w:t>
      </w:r>
    </w:p>
    <w:p>
      <w:pPr>
        <w:pStyle w:val="Normal"/>
        <w:spacing w:lineRule="auto" w:line="360"/>
        <w:jc w:val="both"/>
        <w:rPr>
          <w:sz w:val="28"/>
          <w:szCs w:val="28"/>
        </w:rPr>
      </w:pPr>
      <w:bookmarkStart w:id="77" w:name="_1604232957"/>
      <w:bookmarkStart w:id="78" w:name="_1540633717"/>
      <w:bookmarkStart w:id="79" w:name="_1512317572"/>
      <w:bookmarkEnd w:id="77"/>
      <w:bookmarkEnd w:id="78"/>
      <w:bookmarkEnd w:id="79"/>
      <w:r>
        <w:rPr>
          <w:sz w:val="28"/>
          <w:szCs w:val="28"/>
        </w:rPr>
        <w:object w:dxaOrig="9720" w:dyaOrig="9252">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469.45pt;height:134.6pt" filled="f" o:ole="">
            <v:imagedata r:id="rId20" o:title=""/>
          </v:shape>
          <o:OLEObject Type="Embed" ProgID="" ShapeID="ole_rId19" DrawAspect="Content" ObjectID="_1510307157" r:id="rId19"/>
        </w:object>
      </w:r>
      <w:r>
        <mc:AlternateContent>
          <mc:Choice Requires="wps">
            <w:drawing>
              <wp:anchor behindDoc="0" distT="0" distB="0" distL="114935" distR="114935" simplePos="0" locked="0" layoutInCell="0" allowOverlap="1" relativeHeight="33">
                <wp:simplePos x="0" y="0"/>
                <wp:positionH relativeFrom="column">
                  <wp:posOffset>27940</wp:posOffset>
                </wp:positionH>
                <wp:positionV relativeFrom="paragraph">
                  <wp:posOffset>1636395</wp:posOffset>
                </wp:positionV>
                <wp:extent cx="5963285" cy="2086610"/>
                <wp:effectExtent l="0" t="0" r="0" b="0"/>
                <wp:wrapNone/>
                <wp:docPr id="11" name="Врезка8"/>
                <a:graphic xmlns:a="http://schemas.openxmlformats.org/drawingml/2006/main">
                  <a:graphicData uri="http://schemas.microsoft.com/office/word/2010/wordprocessingShape">
                    <wps:wsp>
                      <wps:cNvSpPr txBox="1"/>
                      <wps:spPr>
                        <a:xfrm>
                          <a:off x="0" y="0"/>
                          <a:ext cx="5963285" cy="2086610"/>
                        </a:xfrm>
                        <a:prstGeom prst="rect"/>
                        <a:solidFill>
                          <a:srgbClr val="FFFFFF"/>
                        </a:solidFill>
                        <a:ln w="9525">
                          <a:solidFill>
                            <a:srgbClr val="FFFFFF"/>
                          </a:solidFill>
                        </a:ln>
                      </wps:spPr>
                      <wps:txbx>
                        <w:txbxContent>
                          <w:p>
                            <w:pPr>
                              <w:pStyle w:val="Normal"/>
                              <w:ind w:right="87" w:hanging="0"/>
                              <w:jc w:val="center"/>
                              <w:rPr/>
                            </w:pPr>
                            <w:r>
                              <w:rPr/>
                              <w:t>1 – инструмент добавления технологических ячеек; 2 – инструмент перемещения технологических ячеек; ; 3- инструмент вращения технологических ячеек; 4 – инструмент удаления технологических ячеек; 5,6 – инструменты добавления  технологических скважин; 7 – инструмент перемещения технологических скважин; 8 – инструмент удаления технологических скважин;  9 –инструмент построения блока по рядам; 10 –инструмент перемещения рядов; 11 –инструмент поворота рядов; 12 –инструмент изменения межскважинного расстояния в рядах;   13 –инструмент построения блока по скважинам; 14 –инструмент удаление схемы вскрытия блока; 15 –инструмент «Инспектор»; 16 –инструмент автоматического построения блока.</w:t>
                            </w:r>
                          </w:p>
                          <w:p>
                            <w:pPr>
                              <w:pStyle w:val="Normal"/>
                              <w:ind w:right="87" w:hanging="0"/>
                              <w:jc w:val="center"/>
                              <w:rPr>
                                <w:sz w:val="28"/>
                                <w:szCs w:val="28"/>
                              </w:rPr>
                            </w:pPr>
                            <w:r>
                              <w:rPr>
                                <w:sz w:val="28"/>
                                <w:szCs w:val="28"/>
                              </w:rPr>
                              <w:t>Рисунок 1.8 – Инструменты создания и редактирования технологических блоков</w:t>
                            </w:r>
                          </w:p>
                          <w:p>
                            <w:pPr>
                              <w:pStyle w:val="Normal"/>
                              <w:rPr>
                                <w:sz w:val="28"/>
                                <w:szCs w:val="28"/>
                              </w:rPr>
                            </w:pPr>
                            <w:r>
                              <w:rPr>
                                <w:sz w:val="28"/>
                                <w:szCs w:val="28"/>
                              </w:rPr>
                            </w:r>
                          </w:p>
                        </w:txbxContent>
                      </wps:txbx>
                      <wps:bodyPr anchor="t" lIns="91440" tIns="45720" rIns="91440" bIns="45720">
                        <a:noAutofit/>
                      </wps:bodyPr>
                    </wps:wsp>
                  </a:graphicData>
                </a:graphic>
              </wp:anchor>
            </w:drawing>
          </mc:Choice>
          <mc:Fallback>
            <w:pict>
              <v:rect fillcolor="#FFFFFF" strokecolor="#FFFFFF" strokeweight="0pt" style="position:absolute;rotation:0;width:469.55pt;height:164.3pt;mso-wrap-distance-left:9.05pt;mso-wrap-distance-right:9.05pt;mso-wrap-distance-top:0pt;mso-wrap-distance-bottom:0pt;margin-top:128.85pt;mso-position-vertical-relative:text;margin-left:2.2pt;mso-position-horizontal-relative:text">
                <v:textbox>
                  <w:txbxContent>
                    <w:p>
                      <w:pPr>
                        <w:pStyle w:val="Normal"/>
                        <w:ind w:right="87" w:hanging="0"/>
                        <w:jc w:val="center"/>
                        <w:rPr/>
                      </w:pPr>
                      <w:r>
                        <w:rPr/>
                        <w:t>1 – инструмент добавления технологических ячеек; 2 – инструмент перемещения технологических ячеек; ; 3- инструмент вращения технологических ячеек; 4 – инструмент удаления технологических ячеек; 5,6 – инструменты добавления  технологических скважин; 7 – инструмент перемещения технологических скважин; 8 – инструмент удаления технологических скважин;  9 –инструмент построения блока по рядам; 10 –инструмент перемещения рядов; 11 –инструмент поворота рядов; 12 –инструмент изменения межскважинного расстояния в рядах;   13 –инструмент построения блока по скважинам; 14 –инструмент удаление схемы вскрытия блока; 15 –инструмент «Инспектор»; 16 –инструмент автоматического построения блока.</w:t>
                      </w:r>
                    </w:p>
                    <w:p>
                      <w:pPr>
                        <w:pStyle w:val="Normal"/>
                        <w:ind w:right="87" w:hanging="0"/>
                        <w:jc w:val="center"/>
                        <w:rPr>
                          <w:sz w:val="28"/>
                          <w:szCs w:val="28"/>
                        </w:rPr>
                      </w:pPr>
                      <w:r>
                        <w:rPr>
                          <w:sz w:val="28"/>
                          <w:szCs w:val="28"/>
                        </w:rPr>
                        <w:t>Рисунок 1.8 – Инструменты создания и редактирования технологических блоков</w:t>
                      </w:r>
                    </w:p>
                    <w:p>
                      <w:pPr>
                        <w:pStyle w:val="Normal"/>
                        <w:rPr>
                          <w:sz w:val="28"/>
                          <w:szCs w:val="28"/>
                        </w:rPr>
                      </w:pPr>
                      <w:r>
                        <w:rPr>
                          <w:sz w:val="28"/>
                          <w:szCs w:val="28"/>
                        </w:rPr>
                      </w:r>
                    </w:p>
                  </w:txbxContent>
                </v:textbox>
                <w10:wrap type="none"/>
              </v:rect>
            </w:pict>
          </mc:Fallback>
        </mc:AlternateContent>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ind w:firstLine="709"/>
        <w:jc w:val="both"/>
        <w:rPr>
          <w:sz w:val="28"/>
          <w:szCs w:val="28"/>
        </w:rPr>
      </w:pPr>
      <w:r>
        <w:rPr>
          <w:sz w:val="28"/>
          <w:szCs w:val="28"/>
        </w:rPr>
      </w:r>
    </w:p>
    <w:p>
      <w:pPr>
        <w:pStyle w:val="Normal"/>
        <w:spacing w:lineRule="auto" w:line="360"/>
        <w:ind w:firstLine="709"/>
        <w:jc w:val="both"/>
        <w:rPr>
          <w:sz w:val="28"/>
          <w:szCs w:val="28"/>
        </w:rPr>
      </w:pPr>
      <w:r>
        <w:rPr>
          <w:sz w:val="28"/>
          <w:szCs w:val="28"/>
        </w:rPr>
        <w:t>Для построения блока с помощью примитивов технологических ячеек необходимо нажать кнопку 1  (рисунок 1.8). После чего появится окно «Параметры примитива». После определения параметров примитивов и выбора типа схемы можно приступить к построению блока. При нажатии и удерживании левой кнопки мышки по области проектирования активизируется процесс создания технологической ячейки. Производиться размещение технологической ячейки в области проектирования. После того как клавиша будет отпущена программа добавит созданную ячейку к выделенному блоку. Остальные технологические ячейки располагаются аналогично. При приближении создаваемой ячейки к уже созданной, программа предлагает присоединить ячейку к уже существующему блоку. Если же присоединение не требуется, то расположение ячейки следует производить при нажатой клавише «</w:t>
      </w:r>
      <w:r>
        <w:rPr>
          <w:sz w:val="28"/>
          <w:szCs w:val="28"/>
          <w:lang w:val="en-US"/>
        </w:rPr>
        <w:t>Ctrl</w:t>
      </w:r>
      <w:r>
        <w:rPr>
          <w:sz w:val="28"/>
          <w:szCs w:val="28"/>
        </w:rPr>
        <w:t>». После размещения, технологические объекты можно редактировать с помощью инструментов 2-8 (рисунок 1.8). Для редактирования эксплуатационного блока необходимо выбрать требуемый инструмент редактирования. После этого следует нажать левую клавишу мышки над редактируемым объектом и отвести мышку в нужном направлении. В результате активизируется процесс редактирования объекта. После того как клавиша мышки будет отпущена будут автоматически приняты все совершенные изменения.  Инструмент 7 (рисунок 1.8) позволяет также перемещать несколько скважин сразу. Для этого необходимо с зажатой клавишей «</w:t>
      </w:r>
      <w:r>
        <w:rPr>
          <w:sz w:val="28"/>
          <w:szCs w:val="28"/>
          <w:lang w:val="en-US"/>
        </w:rPr>
        <w:t>Alt</w:t>
      </w:r>
      <w:r>
        <w:rPr>
          <w:sz w:val="28"/>
          <w:szCs w:val="28"/>
        </w:rPr>
        <w:t>» произвести выделение нужных скважин, после чего совершить перемещение. Инструмент 9 (рисунок 1.8) позволяет осуществлять построение схем вскрытия с помощью рядов. Для этого при нажатой кнопке 9 проводятся 2 линии закачных рядов, линия откачного ряда располагается между закачными. При начале создания первой линии появится модальное окно с параметрами сети расположения скважин. После закрытия окна можно приступать к построению рядов. Инструмент 13 (рисунок 1.8) позволяет вручную указать расположение закачных скважин, после чего с помощью инструмента 6 (рисунок 1.8) добавляются откачные скважины. Автоматическое построение схем вскрытия вызывается путем нажатия кнопки 14 (рисунок 1.8). После чего появляется окно «Автоматическое построение блока».</w:t>
      </w:r>
    </w:p>
    <w:p>
      <w:pPr>
        <w:pStyle w:val="Normal"/>
        <w:spacing w:lineRule="auto" w:line="360"/>
        <w:ind w:firstLine="709"/>
        <w:jc w:val="both"/>
        <w:rPr>
          <w:sz w:val="28"/>
          <w:szCs w:val="28"/>
        </w:rPr>
      </w:pPr>
      <w:r>
        <w:rPr>
          <w:sz w:val="28"/>
          <w:szCs w:val="28"/>
        </w:rPr>
        <w:t xml:space="preserve">Для перемещения, вращения или изменения межскважинного расстояния в рядах используются инструменты 10-12 ( рисунок 1.8). Для этого левой клавишей мыши выделяется начало и конец интересующего ряда, после этого ряд будет выделен линией оранжевого цвета (рисунок 1.9). Редактирование выделенного ряда осуществляется путем нажатия левой кнопкой мыши на один из концов ряда, после чего необходимо произвести изменение положения мыши. </w:t>
      </w:r>
    </w:p>
    <w:p>
      <w:pPr>
        <w:pStyle w:val="Normal"/>
        <w:spacing w:lineRule="auto" w:line="360"/>
        <w:ind w:firstLine="709"/>
        <w:jc w:val="center"/>
        <w:rPr>
          <w:lang w:val="ru-RU" w:eastAsia="ru-RU"/>
        </w:rPr>
      </w:pPr>
      <w:r>
        <w:rPr>
          <w:lang w:val="ru-RU" w:eastAsia="ru-RU"/>
        </w:rPr>
        <w:drawing>
          <wp:inline distT="0" distB="0" distL="0" distR="0">
            <wp:extent cx="3709035" cy="2703830"/>
            <wp:effectExtent l="0" t="0" r="0" b="0"/>
            <wp:docPr id="12"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 descr=""/>
                    <pic:cNvPicPr>
                      <a:picLocks noChangeAspect="1" noChangeArrowheads="1"/>
                    </pic:cNvPicPr>
                  </pic:nvPicPr>
                  <pic:blipFill>
                    <a:blip r:embed="rId21"/>
                    <a:srcRect l="-6" t="24521" r="-6" b="7915"/>
                    <a:stretch>
                      <a:fillRect/>
                    </a:stretch>
                  </pic:blipFill>
                  <pic:spPr bwMode="auto">
                    <a:xfrm>
                      <a:off x="0" y="0"/>
                      <a:ext cx="3709035" cy="2703830"/>
                    </a:xfrm>
                    <a:prstGeom prst="rect">
                      <a:avLst/>
                    </a:prstGeom>
                  </pic:spPr>
                </pic:pic>
              </a:graphicData>
            </a:graphic>
          </wp:inline>
        </w:drawing>
      </w:r>
      <w:r>
        <mc:AlternateContent>
          <mc:Choice Requires="wps">
            <w:drawing>
              <wp:anchor behindDoc="0" distT="0" distB="0" distL="114935" distR="114935" simplePos="0" locked="0" layoutInCell="0" allowOverlap="1" relativeHeight="40">
                <wp:simplePos x="0" y="0"/>
                <wp:positionH relativeFrom="column">
                  <wp:posOffset>180340</wp:posOffset>
                </wp:positionH>
                <wp:positionV relativeFrom="paragraph">
                  <wp:posOffset>2708910</wp:posOffset>
                </wp:positionV>
                <wp:extent cx="5963285" cy="392430"/>
                <wp:effectExtent l="0" t="0" r="0" b="0"/>
                <wp:wrapNone/>
                <wp:docPr id="13" name="Врезка9"/>
                <a:graphic xmlns:a="http://schemas.openxmlformats.org/drawingml/2006/main">
                  <a:graphicData uri="http://schemas.microsoft.com/office/word/2010/wordprocessingShape">
                    <wps:wsp>
                      <wps:cNvSpPr txBox="1"/>
                      <wps:spPr>
                        <a:xfrm>
                          <a:off x="0" y="0"/>
                          <a:ext cx="5963285" cy="392430"/>
                        </a:xfrm>
                        <a:prstGeom prst="rect"/>
                        <a:solidFill>
                          <a:srgbClr val="FFFFFF"/>
                        </a:solidFill>
                        <a:ln w="9525">
                          <a:solidFill>
                            <a:srgbClr val="FFFFFF"/>
                          </a:solidFill>
                        </a:ln>
                      </wps:spPr>
                      <wps:txbx>
                        <w:txbxContent>
                          <w:p>
                            <w:pPr>
                              <w:pStyle w:val="Normal"/>
                              <w:ind w:right="87" w:hanging="0"/>
                              <w:jc w:val="center"/>
                              <w:rPr>
                                <w:sz w:val="28"/>
                                <w:szCs w:val="28"/>
                              </w:rPr>
                            </w:pPr>
                            <w:r>
                              <w:rPr>
                                <w:sz w:val="28"/>
                                <w:szCs w:val="28"/>
                              </w:rPr>
                              <w:t>Рисунок 1.8 – Редактирование положения рядов</w:t>
                            </w:r>
                          </w:p>
                          <w:p>
                            <w:pPr>
                              <w:pStyle w:val="Normal"/>
                              <w:rPr>
                                <w:sz w:val="28"/>
                                <w:szCs w:val="28"/>
                              </w:rPr>
                            </w:pPr>
                            <w:r>
                              <w:rPr>
                                <w:sz w:val="28"/>
                                <w:szCs w:val="28"/>
                              </w:rPr>
                            </w:r>
                          </w:p>
                        </w:txbxContent>
                      </wps:txbx>
                      <wps:bodyPr anchor="t" lIns="91440" tIns="45720" rIns="91440" bIns="45720">
                        <a:noAutofit/>
                      </wps:bodyPr>
                    </wps:wsp>
                  </a:graphicData>
                </a:graphic>
              </wp:anchor>
            </w:drawing>
          </mc:Choice>
          <mc:Fallback>
            <w:pict>
              <v:rect fillcolor="#FFFFFF" strokecolor="#FFFFFF" strokeweight="0pt" style="position:absolute;rotation:0;width:469.55pt;height:30.9pt;mso-wrap-distance-left:9.05pt;mso-wrap-distance-right:9.05pt;mso-wrap-distance-top:0pt;mso-wrap-distance-bottom:0pt;margin-top:213.3pt;mso-position-vertical-relative:text;margin-left:14.2pt;mso-position-horizontal-relative:text">
                <v:textbox>
                  <w:txbxContent>
                    <w:p>
                      <w:pPr>
                        <w:pStyle w:val="Normal"/>
                        <w:ind w:right="87" w:hanging="0"/>
                        <w:jc w:val="center"/>
                        <w:rPr>
                          <w:sz w:val="28"/>
                          <w:szCs w:val="28"/>
                        </w:rPr>
                      </w:pPr>
                      <w:r>
                        <w:rPr>
                          <w:sz w:val="28"/>
                          <w:szCs w:val="28"/>
                        </w:rPr>
                        <w:t>Рисунок 1.8 – Редактирование положения рядов</w:t>
                      </w:r>
                    </w:p>
                    <w:p>
                      <w:pPr>
                        <w:pStyle w:val="Normal"/>
                        <w:rPr>
                          <w:sz w:val="28"/>
                          <w:szCs w:val="28"/>
                        </w:rPr>
                      </w:pPr>
                      <w:r>
                        <w:rPr>
                          <w:sz w:val="28"/>
                          <w:szCs w:val="28"/>
                        </w:rPr>
                      </w:r>
                    </w:p>
                  </w:txbxContent>
                </v:textbox>
                <w10:wrap type="none"/>
              </v:rect>
            </w:pict>
          </mc:Fallback>
        </mc:AlternateContent>
      </w:r>
    </w:p>
    <w:p>
      <w:pPr>
        <w:pStyle w:val="Normal"/>
        <w:spacing w:lineRule="auto" w:line="360"/>
        <w:ind w:firstLine="709"/>
        <w:jc w:val="center"/>
        <w:rPr>
          <w:lang w:val="ru-RU" w:eastAsia="ru-RU"/>
        </w:rPr>
      </w:pPr>
      <w:r>
        <w:rPr>
          <w:lang w:val="ru-RU" w:eastAsia="ru-RU"/>
        </w:rPr>
      </w:r>
    </w:p>
    <w:p>
      <w:pPr>
        <w:pStyle w:val="Normal"/>
        <w:spacing w:lineRule="auto" w:line="360"/>
        <w:ind w:firstLine="709"/>
        <w:jc w:val="both"/>
        <w:rPr>
          <w:sz w:val="28"/>
          <w:szCs w:val="28"/>
        </w:rPr>
      </w:pPr>
      <w:r>
        <w:rPr>
          <w:sz w:val="28"/>
          <w:szCs w:val="28"/>
        </w:rPr>
        <w:t>Сопоставление проектных скважин одного блока с проектными скважинами другого или пробуренными скважинами осуществляется с помощью инструментов представленных на рисунке 1.9.</w:t>
      </w:r>
    </w:p>
    <w:p>
      <w:pPr>
        <w:pStyle w:val="Normal"/>
        <w:spacing w:lineRule="auto" w:line="360"/>
        <w:jc w:val="both"/>
        <w:rPr>
          <w:sz w:val="28"/>
          <w:szCs w:val="28"/>
        </w:rPr>
      </w:pPr>
      <w:bookmarkStart w:id="80" w:name="_1540640353"/>
      <w:bookmarkEnd w:id="80"/>
      <w:r>
        <w:rPr>
          <w:sz w:val="28"/>
          <w:szCs w:val="28"/>
        </w:rPr>
        <w:object w:dxaOrig="9720" w:dyaOrig="9252">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469.45pt;height:70.3pt" filled="f" o:ole="">
            <v:imagedata r:id="rId23" o:title=""/>
          </v:shape>
          <o:OLEObject Type="Embed" ProgID="" ShapeID="ole_rId22" DrawAspect="Content" ObjectID="_1547347068" r:id="rId22"/>
        </w:object>
      </w:r>
      <w:r>
        <mc:AlternateContent>
          <mc:Choice Requires="wps">
            <w:drawing>
              <wp:anchor behindDoc="0" distT="0" distB="0" distL="114935" distR="114935" simplePos="0" locked="0" layoutInCell="0" allowOverlap="1" relativeHeight="39">
                <wp:simplePos x="0" y="0"/>
                <wp:positionH relativeFrom="column">
                  <wp:posOffset>-62230</wp:posOffset>
                </wp:positionH>
                <wp:positionV relativeFrom="paragraph">
                  <wp:posOffset>657860</wp:posOffset>
                </wp:positionV>
                <wp:extent cx="5963285" cy="730885"/>
                <wp:effectExtent l="0" t="0" r="0" b="0"/>
                <wp:wrapNone/>
                <wp:docPr id="14" name="Врезка10"/>
                <a:graphic xmlns:a="http://schemas.openxmlformats.org/drawingml/2006/main">
                  <a:graphicData uri="http://schemas.microsoft.com/office/word/2010/wordprocessingShape">
                    <wps:wsp>
                      <wps:cNvSpPr txBox="1"/>
                      <wps:spPr>
                        <a:xfrm>
                          <a:off x="0" y="0"/>
                          <a:ext cx="5963285" cy="730885"/>
                        </a:xfrm>
                        <a:prstGeom prst="rect"/>
                        <a:solidFill>
                          <a:srgbClr val="FFFFFF"/>
                        </a:solidFill>
                        <a:ln w="9525">
                          <a:solidFill>
                            <a:srgbClr val="FFFFFF"/>
                          </a:solidFill>
                        </a:ln>
                      </wps:spPr>
                      <wps:txbx>
                        <w:txbxContent>
                          <w:p>
                            <w:pPr>
                              <w:pStyle w:val="Normal"/>
                              <w:ind w:right="87" w:hanging="0"/>
                              <w:jc w:val="center"/>
                              <w:rPr/>
                            </w:pPr>
                            <w:r>
                              <w:rPr/>
                              <w:t xml:space="preserve">1 – инструмент ручного сопоставления скважин; 2 – инструмент автоматического сопоставления скважин; </w:t>
                            </w:r>
                          </w:p>
                          <w:p>
                            <w:pPr>
                              <w:pStyle w:val="Normal"/>
                              <w:ind w:right="87" w:hanging="0"/>
                              <w:jc w:val="center"/>
                              <w:rPr>
                                <w:sz w:val="28"/>
                                <w:szCs w:val="28"/>
                              </w:rPr>
                            </w:pPr>
                            <w:r>
                              <w:rPr>
                                <w:sz w:val="28"/>
                                <w:szCs w:val="28"/>
                              </w:rPr>
                              <w:t>Рисунок 1.9 – Инструменты создания и редактирования осевых линий</w:t>
                            </w:r>
                          </w:p>
                          <w:p>
                            <w:pPr>
                              <w:pStyle w:val="Normal"/>
                              <w:rPr>
                                <w:sz w:val="28"/>
                                <w:szCs w:val="28"/>
                              </w:rPr>
                            </w:pPr>
                            <w:r>
                              <w:rPr>
                                <w:sz w:val="28"/>
                                <w:szCs w:val="28"/>
                              </w:rPr>
                            </w:r>
                          </w:p>
                        </w:txbxContent>
                      </wps:txbx>
                      <wps:bodyPr anchor="t" lIns="91440" tIns="45720" rIns="91440" bIns="45720">
                        <a:noAutofit/>
                      </wps:bodyPr>
                    </wps:wsp>
                  </a:graphicData>
                </a:graphic>
              </wp:anchor>
            </w:drawing>
          </mc:Choice>
          <mc:Fallback>
            <w:pict>
              <v:rect fillcolor="#FFFFFF" strokecolor="#FFFFFF" strokeweight="0pt" style="position:absolute;rotation:0;width:469.55pt;height:57.55pt;mso-wrap-distance-left:9.05pt;mso-wrap-distance-right:9.05pt;mso-wrap-distance-top:0pt;mso-wrap-distance-bottom:0pt;margin-top:51.8pt;mso-position-vertical-relative:text;margin-left:-4.9pt;mso-position-horizontal-relative:text">
                <v:textbox>
                  <w:txbxContent>
                    <w:p>
                      <w:pPr>
                        <w:pStyle w:val="Normal"/>
                        <w:ind w:right="87" w:hanging="0"/>
                        <w:jc w:val="center"/>
                        <w:rPr/>
                      </w:pPr>
                      <w:r>
                        <w:rPr/>
                        <w:t xml:space="preserve">1 – инструмент ручного сопоставления скважин; 2 – инструмент автоматического сопоставления скважин; </w:t>
                      </w:r>
                    </w:p>
                    <w:p>
                      <w:pPr>
                        <w:pStyle w:val="Normal"/>
                        <w:ind w:right="87" w:hanging="0"/>
                        <w:jc w:val="center"/>
                        <w:rPr>
                          <w:sz w:val="28"/>
                          <w:szCs w:val="28"/>
                        </w:rPr>
                      </w:pPr>
                      <w:r>
                        <w:rPr>
                          <w:sz w:val="28"/>
                          <w:szCs w:val="28"/>
                        </w:rPr>
                        <w:t>Рисунок 1.9 – Инструменты создания и редактирования осевых линий</w:t>
                      </w:r>
                    </w:p>
                    <w:p>
                      <w:pPr>
                        <w:pStyle w:val="Normal"/>
                        <w:rPr>
                          <w:sz w:val="28"/>
                          <w:szCs w:val="28"/>
                        </w:rPr>
                      </w:pPr>
                      <w:r>
                        <w:rPr>
                          <w:sz w:val="28"/>
                          <w:szCs w:val="28"/>
                        </w:rPr>
                      </w:r>
                    </w:p>
                  </w:txbxContent>
                </v:textbox>
                <w10:wrap type="none"/>
              </v:rect>
            </w:pict>
          </mc:Fallback>
        </mc:AlternateContent>
      </w:r>
    </w:p>
    <w:p>
      <w:pPr>
        <w:pStyle w:val="Normal"/>
        <w:spacing w:lineRule="auto" w:line="360"/>
        <w:jc w:val="both"/>
        <w:rPr>
          <w:sz w:val="28"/>
          <w:szCs w:val="28"/>
        </w:rPr>
      </w:pPr>
      <w:r>
        <w:rPr>
          <w:sz w:val="28"/>
          <w:szCs w:val="28"/>
        </w:rPr>
      </w:r>
    </w:p>
    <w:p>
      <w:pPr>
        <w:pStyle w:val="Normal"/>
        <w:spacing w:lineRule="auto" w:line="360"/>
        <w:ind w:firstLine="567"/>
        <w:jc w:val="both"/>
        <w:rPr>
          <w:sz w:val="28"/>
          <w:szCs w:val="28"/>
        </w:rPr>
      </w:pPr>
      <w:r>
        <w:rPr>
          <w:sz w:val="28"/>
          <w:szCs w:val="28"/>
        </w:rPr>
        <w:t>Для редактирования схем вскрытия в программном обеспечении присутствуют дополнительные инструменты представленные на рисунке 1.10.</w:t>
      </w:r>
    </w:p>
    <w:p>
      <w:pPr>
        <w:pStyle w:val="Normal"/>
        <w:spacing w:lineRule="auto" w:line="360"/>
        <w:jc w:val="center"/>
        <w:rPr>
          <w:sz w:val="28"/>
          <w:szCs w:val="28"/>
          <w:lang w:val="ru-RU" w:eastAsia="ru-RU"/>
        </w:rPr>
      </w:pPr>
      <w:bookmarkStart w:id="81" w:name="_1604233931"/>
      <w:bookmarkEnd w:id="81"/>
      <w:r>
        <w:rPr>
          <w:sz w:val="28"/>
          <w:szCs w:val="28"/>
        </w:rPr>
        <w:object w:dxaOrig="9720" w:dyaOrig="9252">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469.45pt;height:77.7pt" filled="f" o:ole="">
            <v:imagedata r:id="rId25" o:title=""/>
          </v:shape>
          <o:OLEObject Type="Embed" ProgID="" ShapeID="ole_rId24" DrawAspect="Content" ObjectID="_522690905" r:id="rId24"/>
        </w:object>
      </w:r>
      <w:r>
        <mc:AlternateContent>
          <mc:Choice Requires="wps">
            <w:drawing>
              <wp:anchor behindDoc="0" distT="0" distB="0" distL="114935" distR="114935" simplePos="0" locked="0" layoutInCell="0" allowOverlap="1" relativeHeight="41">
                <wp:simplePos x="0" y="0"/>
                <wp:positionH relativeFrom="column">
                  <wp:posOffset>26670</wp:posOffset>
                </wp:positionH>
                <wp:positionV relativeFrom="paragraph">
                  <wp:posOffset>1072515</wp:posOffset>
                </wp:positionV>
                <wp:extent cx="5963285" cy="1570990"/>
                <wp:effectExtent l="0" t="0" r="0" b="0"/>
                <wp:wrapNone/>
                <wp:docPr id="15" name="Врезка11"/>
                <a:graphic xmlns:a="http://schemas.openxmlformats.org/drawingml/2006/main">
                  <a:graphicData uri="http://schemas.microsoft.com/office/word/2010/wordprocessingShape">
                    <wps:wsp>
                      <wps:cNvSpPr txBox="1"/>
                      <wps:spPr>
                        <a:xfrm>
                          <a:off x="0" y="0"/>
                          <a:ext cx="5963285" cy="1570990"/>
                        </a:xfrm>
                        <a:prstGeom prst="rect"/>
                        <a:solidFill>
                          <a:srgbClr val="FFFFFF"/>
                        </a:solidFill>
                        <a:ln w="9525">
                          <a:solidFill>
                            <a:srgbClr val="FFFFFF"/>
                          </a:solidFill>
                        </a:ln>
                      </wps:spPr>
                      <wps:txbx>
                        <w:txbxContent>
                          <w:p>
                            <w:pPr>
                              <w:pStyle w:val="Normal"/>
                              <w:ind w:right="87" w:hanging="0"/>
                              <w:jc w:val="center"/>
                              <w:rPr/>
                            </w:pPr>
                            <w:r>
                              <w:rPr/>
                              <w:t>1 – кнопка «Свойства блока»; 2 – инструмент «Линейка»; 3 – инструмент «Площадь»;</w:t>
                            </w:r>
                          </w:p>
                          <w:p>
                            <w:pPr>
                              <w:pStyle w:val="Normal"/>
                              <w:ind w:right="87" w:hanging="0"/>
                              <w:jc w:val="center"/>
                              <w:rPr/>
                            </w:pPr>
                            <w:r>
                              <w:rPr/>
                              <w:t>4 – инструмент «Копировать ячейку»; 5 – инструмент полуавтоматического добавления имен скважин; 6 – инструмент добавления/редактирования имени скважины; 7 – инструмент перемещения имени скважины; 8 – инструмент расположения скважины по середине;</w:t>
                            </w:r>
                          </w:p>
                          <w:p>
                            <w:pPr>
                              <w:pStyle w:val="Normal"/>
                              <w:ind w:right="87" w:hanging="0"/>
                              <w:jc w:val="center"/>
                              <w:rPr/>
                            </w:pPr>
                            <w:r>
                              <w:rPr/>
                            </w:r>
                          </w:p>
                          <w:p>
                            <w:pPr>
                              <w:pStyle w:val="Normal"/>
                              <w:ind w:right="87" w:hanging="0"/>
                              <w:jc w:val="center"/>
                              <w:rPr>
                                <w:sz w:val="28"/>
                                <w:szCs w:val="28"/>
                              </w:rPr>
                            </w:pPr>
                            <w:r>
                              <w:rPr>
                                <w:sz w:val="28"/>
                                <w:szCs w:val="28"/>
                              </w:rPr>
                              <w:t>Рисунок 1.10 – Дополнительные инструменты редактирования схем</w:t>
                            </w:r>
                            <w:r>
                              <w:rPr>
                                <w:b/>
                                <w:sz w:val="28"/>
                                <w:szCs w:val="28"/>
                              </w:rPr>
                              <w:t xml:space="preserve"> </w:t>
                            </w:r>
                            <w:r>
                              <w:rPr>
                                <w:sz w:val="28"/>
                                <w:szCs w:val="28"/>
                              </w:rPr>
                              <w:t>вскрытия</w:t>
                            </w:r>
                          </w:p>
                          <w:p>
                            <w:pPr>
                              <w:pStyle w:val="Normal"/>
                              <w:rPr>
                                <w:sz w:val="28"/>
                                <w:szCs w:val="28"/>
                              </w:rPr>
                            </w:pPr>
                            <w:r>
                              <w:rPr>
                                <w:sz w:val="28"/>
                                <w:szCs w:val="28"/>
                              </w:rPr>
                            </w:r>
                          </w:p>
                        </w:txbxContent>
                      </wps:txbx>
                      <wps:bodyPr anchor="t" lIns="91440" tIns="45720" rIns="91440" bIns="45720">
                        <a:noAutofit/>
                      </wps:bodyPr>
                    </wps:wsp>
                  </a:graphicData>
                </a:graphic>
              </wp:anchor>
            </w:drawing>
          </mc:Choice>
          <mc:Fallback>
            <w:pict>
              <v:rect fillcolor="#FFFFFF" strokecolor="#FFFFFF" strokeweight="0pt" style="position:absolute;rotation:0;width:469.55pt;height:123.7pt;mso-wrap-distance-left:9.05pt;mso-wrap-distance-right:9.05pt;mso-wrap-distance-top:0pt;mso-wrap-distance-bottom:0pt;margin-top:84.45pt;mso-position-vertical-relative:text;margin-left:2.1pt;mso-position-horizontal-relative:text">
                <v:textbox>
                  <w:txbxContent>
                    <w:p>
                      <w:pPr>
                        <w:pStyle w:val="Normal"/>
                        <w:ind w:right="87" w:hanging="0"/>
                        <w:jc w:val="center"/>
                        <w:rPr/>
                      </w:pPr>
                      <w:r>
                        <w:rPr/>
                        <w:t>1 – кнопка «Свойства блока»; 2 – инструмент «Линейка»; 3 – инструмент «Площадь»;</w:t>
                      </w:r>
                    </w:p>
                    <w:p>
                      <w:pPr>
                        <w:pStyle w:val="Normal"/>
                        <w:ind w:right="87" w:hanging="0"/>
                        <w:jc w:val="center"/>
                        <w:rPr/>
                      </w:pPr>
                      <w:r>
                        <w:rPr/>
                        <w:t>4 – инструмент «Копировать ячейку»; 5 – инструмент полуавтоматического добавления имен скважин; 6 – инструмент добавления/редактирования имени скважины; 7 – инструмент перемещения имени скважины; 8 – инструмент расположения скважины по середине;</w:t>
                      </w:r>
                    </w:p>
                    <w:p>
                      <w:pPr>
                        <w:pStyle w:val="Normal"/>
                        <w:ind w:right="87" w:hanging="0"/>
                        <w:jc w:val="center"/>
                        <w:rPr/>
                      </w:pPr>
                      <w:r>
                        <w:rPr/>
                      </w:r>
                    </w:p>
                    <w:p>
                      <w:pPr>
                        <w:pStyle w:val="Normal"/>
                        <w:ind w:right="87" w:hanging="0"/>
                        <w:jc w:val="center"/>
                        <w:rPr>
                          <w:sz w:val="28"/>
                          <w:szCs w:val="28"/>
                        </w:rPr>
                      </w:pPr>
                      <w:r>
                        <w:rPr>
                          <w:sz w:val="28"/>
                          <w:szCs w:val="28"/>
                        </w:rPr>
                        <w:t>Рисунок 1.10 – Дополнительные инструменты редактирования схем</w:t>
                      </w:r>
                      <w:r>
                        <w:rPr>
                          <w:b/>
                          <w:sz w:val="28"/>
                          <w:szCs w:val="28"/>
                        </w:rPr>
                        <w:t xml:space="preserve"> </w:t>
                      </w:r>
                      <w:r>
                        <w:rPr>
                          <w:sz w:val="28"/>
                          <w:szCs w:val="28"/>
                        </w:rPr>
                        <w:t>вскрытия</w:t>
                      </w:r>
                    </w:p>
                    <w:p>
                      <w:pPr>
                        <w:pStyle w:val="Normal"/>
                        <w:rPr>
                          <w:sz w:val="28"/>
                          <w:szCs w:val="28"/>
                        </w:rPr>
                      </w:pPr>
                      <w:r>
                        <w:rPr>
                          <w:sz w:val="28"/>
                          <w:szCs w:val="28"/>
                        </w:rPr>
                      </w:r>
                    </w:p>
                  </w:txbxContent>
                </v:textbox>
                <w10:wrap type="none"/>
              </v:rect>
            </w:pict>
          </mc:Fallback>
        </mc:AlternateContent>
      </w:r>
    </w:p>
    <w:p>
      <w:pPr>
        <w:pStyle w:val="Normal"/>
        <w:spacing w:lineRule="auto" w:line="360"/>
        <w:ind w:firstLine="567"/>
        <w:jc w:val="center"/>
        <w:rPr>
          <w:lang w:val="ru-RU" w:eastAsia="ru-RU"/>
        </w:rPr>
      </w:pPr>
      <w:r>
        <w:rPr>
          <w:lang w:val="ru-RU" w:eastAsia="ru-RU"/>
        </w:rPr>
      </w:r>
    </w:p>
    <w:p>
      <w:pPr>
        <w:pStyle w:val="Normal"/>
        <w:spacing w:lineRule="auto" w:line="360"/>
        <w:ind w:firstLine="567"/>
        <w:jc w:val="center"/>
        <w:rPr>
          <w:sz w:val="28"/>
          <w:szCs w:val="28"/>
          <w:lang w:val="ru-RU" w:eastAsia="ru-RU"/>
        </w:rPr>
      </w:pPr>
      <w:r>
        <w:rPr>
          <w:sz w:val="28"/>
          <w:szCs w:val="28"/>
          <w:lang w:val="ru-RU" w:eastAsia="ru-RU"/>
        </w:rPr>
      </w:r>
    </w:p>
    <w:p>
      <w:pPr>
        <w:pStyle w:val="Normal"/>
        <w:spacing w:lineRule="auto" w:line="360"/>
        <w:ind w:firstLine="567"/>
        <w:jc w:val="both"/>
        <w:rPr>
          <w:sz w:val="28"/>
          <w:szCs w:val="28"/>
        </w:rPr>
      </w:pPr>
      <w:r>
        <w:rPr>
          <w:sz w:val="28"/>
          <w:szCs w:val="28"/>
        </w:rPr>
      </w:r>
    </w:p>
    <w:p>
      <w:pPr>
        <w:pStyle w:val="Normal"/>
        <w:spacing w:lineRule="auto" w:line="360"/>
        <w:ind w:firstLine="567"/>
        <w:jc w:val="both"/>
        <w:rPr>
          <w:sz w:val="28"/>
          <w:szCs w:val="28"/>
        </w:rPr>
      </w:pPr>
      <w:r>
        <w:rPr>
          <w:sz w:val="28"/>
          <w:szCs w:val="28"/>
        </w:rPr>
      </w:r>
    </w:p>
    <w:p>
      <w:pPr>
        <w:pStyle w:val="Normal"/>
        <w:spacing w:lineRule="auto" w:line="360"/>
        <w:ind w:firstLine="567"/>
        <w:jc w:val="both"/>
        <w:rPr>
          <w:sz w:val="28"/>
          <w:szCs w:val="28"/>
        </w:rPr>
      </w:pPr>
      <w:r>
        <w:rPr>
          <w:sz w:val="28"/>
          <w:szCs w:val="28"/>
        </w:rPr>
      </w:r>
    </w:p>
    <w:p>
      <w:pPr>
        <w:pStyle w:val="Normal"/>
        <w:spacing w:lineRule="auto" w:line="360"/>
        <w:ind w:firstLine="567"/>
        <w:jc w:val="both"/>
        <w:rPr>
          <w:sz w:val="28"/>
          <w:szCs w:val="28"/>
        </w:rPr>
      </w:pPr>
      <w:r>
        <w:rPr>
          <w:sz w:val="28"/>
          <w:szCs w:val="28"/>
        </w:rPr>
        <w:t>Для редактирования свойств блока необходимо нажать кнопку 1 (рисунок 1.10), после чего откроется окно редактирования. Для измерения расстояния между объектами в области моделирования необходимо выбрать инструмент 2 (рисунок 1.10), после чего несколько раз щелкнуть левой кнопкой мыши по области проектирования. Измерение площади производится аналогичным образом. Для копирования ячейки необходимо выбрать инструмент 4 (рисунок 1.10), нажать левую кнопку мышки над интересующей ячейкой, после чего переместить указатель мышки в сторону. Для автоматического добавления имен скважинам какого либо ряда, необходимо выбрать инструмент 5 (рисунок 1.10), произвести выделение ряда (указать левой кнопкой мышки начало и конец), после этого появится диалоговое окно настроек имен скважин. Когда окно будет закрыта имена скважин автоматически будут расставлены. Для ручного добавления или редактирования имени скважины необходимо выбрать инструмент 6 (рисунок 1.10) и кликнуть левой кнопкой мыши над интересующей скважиной, после чего появится диалог редактирования имени скважины. Для перемещения имени скважины необходимо выбрать инструмент 7 (рисунок 1.10) нажать левую кнопку мыши над интересующим именем скважины и переместить его в нужное место. Инструмент 8 (рисунок 1.10) позволяет установить скважину по середине относительно других скважин. Для этого необходимо первой выделить интересующую скважину, после чего выделить скважины, относительно которых будет произведен поиск нового положения. Для завершения выбора необходимо по последней скважине кликнуть 2 раза.</w:t>
      </w:r>
    </w:p>
    <w:p>
      <w:pPr>
        <w:pStyle w:val="14"/>
        <w:rPr>
          <w:sz w:val="28"/>
          <w:szCs w:val="28"/>
        </w:rPr>
      </w:pPr>
      <w:r>
        <w:rPr>
          <w:sz w:val="28"/>
          <w:szCs w:val="28"/>
        </w:rPr>
      </w:r>
    </w:p>
    <w:p>
      <w:pPr>
        <w:pStyle w:val="14"/>
        <w:rPr/>
      </w:pPr>
      <w:bookmarkStart w:id="82" w:name="__RefHeading___Toc530495740"/>
      <w:bookmarkEnd w:id="82"/>
      <w:r>
        <w:rPr/>
        <w:t>1.9   Автоматическое построение блока</w:t>
      </w:r>
    </w:p>
    <w:p>
      <w:pPr>
        <w:pStyle w:val="Normal"/>
        <w:spacing w:lineRule="auto" w:line="360"/>
        <w:ind w:firstLine="709"/>
        <w:jc w:val="both"/>
        <w:rPr>
          <w:sz w:val="28"/>
          <w:szCs w:val="28"/>
        </w:rPr>
      </w:pPr>
      <w:r>
        <w:rPr>
          <w:sz w:val="28"/>
          <w:szCs w:val="28"/>
        </w:rPr>
        <w:t>Автоматическое построение позволяет строить эксплуатационные блоки на основе контуров областей вскрытия.  Для вызова окна «Построение блока» необходимо нажать кнопку 16 (рисунок 1.8). Внешний вид окна представлен на рисунке 1.11. Для автоматического построения блока необходимо выбрать тип расположения скважин (продольная рядная схема, поперечная рядная схема, ячеистая схема) 1 (рисунок 1.11).</w:t>
      </w:r>
    </w:p>
    <w:p>
      <w:pPr>
        <w:pStyle w:val="Normal"/>
        <w:spacing w:lineRule="auto" w:line="360"/>
        <w:jc w:val="both"/>
        <w:rPr>
          <w:sz w:val="28"/>
          <w:szCs w:val="28"/>
        </w:rPr>
      </w:pPr>
      <w:bookmarkStart w:id="83" w:name="_1604235240"/>
      <w:bookmarkStart w:id="84" w:name="_1540584397"/>
      <w:bookmarkStart w:id="85" w:name="_1540584387"/>
      <w:bookmarkStart w:id="86" w:name="_1540584381"/>
      <w:bookmarkStart w:id="87" w:name="_1540584354"/>
      <w:bookmarkStart w:id="88" w:name="_1540584348"/>
      <w:bookmarkStart w:id="89" w:name="_1540584166"/>
      <w:bookmarkStart w:id="90" w:name="_1478442043"/>
      <w:bookmarkStart w:id="91" w:name="_1478441854"/>
      <w:bookmarkEnd w:id="83"/>
      <w:bookmarkEnd w:id="84"/>
      <w:bookmarkEnd w:id="85"/>
      <w:bookmarkEnd w:id="86"/>
      <w:bookmarkEnd w:id="87"/>
      <w:bookmarkEnd w:id="88"/>
      <w:bookmarkEnd w:id="89"/>
      <w:bookmarkEnd w:id="90"/>
      <w:bookmarkEnd w:id="91"/>
      <w:r>
        <w:rPr>
          <w:sz w:val="28"/>
          <w:szCs w:val="28"/>
        </w:rPr>
        <w:object w:dxaOrig="9720" w:dyaOrig="9252">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469.45pt;height:283.55pt" filled="f" o:ole="">
            <v:imagedata r:id="rId27" o:title=""/>
          </v:shape>
          <o:OLEObject Type="Embed" ProgID="" ShapeID="ole_rId26" DrawAspect="Content" ObjectID="_1239833373" r:id="rId26"/>
        </w:object>
      </w:r>
      <w:r>
        <mc:AlternateContent>
          <mc:Choice Requires="wps">
            <w:drawing>
              <wp:anchor behindDoc="0" distT="0" distB="0" distL="114935" distR="114935" simplePos="0" locked="0" layoutInCell="0" allowOverlap="1" relativeHeight="31">
                <wp:simplePos x="0" y="0"/>
                <wp:positionH relativeFrom="column">
                  <wp:posOffset>-13970</wp:posOffset>
                </wp:positionH>
                <wp:positionV relativeFrom="paragraph">
                  <wp:posOffset>3693160</wp:posOffset>
                </wp:positionV>
                <wp:extent cx="5963285" cy="1005205"/>
                <wp:effectExtent l="0" t="0" r="0" b="0"/>
                <wp:wrapNone/>
                <wp:docPr id="16" name="Врезка12"/>
                <a:graphic xmlns:a="http://schemas.openxmlformats.org/drawingml/2006/main">
                  <a:graphicData uri="http://schemas.microsoft.com/office/word/2010/wordprocessingShape">
                    <wps:wsp>
                      <wps:cNvSpPr txBox="1"/>
                      <wps:spPr>
                        <a:xfrm>
                          <a:off x="0" y="0"/>
                          <a:ext cx="5963285" cy="1005205"/>
                        </a:xfrm>
                        <a:prstGeom prst="rect"/>
                        <a:solidFill>
                          <a:srgbClr val="FFFFFF"/>
                        </a:solidFill>
                        <a:ln w="9525">
                          <a:solidFill>
                            <a:srgbClr val="FFFFFF"/>
                          </a:solidFill>
                        </a:ln>
                      </wps:spPr>
                      <wps:txbx>
                        <w:txbxContent>
                          <w:p>
                            <w:pPr>
                              <w:pStyle w:val="Normal"/>
                              <w:ind w:right="87" w:hanging="0"/>
                              <w:jc w:val="center"/>
                              <w:rPr/>
                            </w:pPr>
                            <w:r>
                              <w:rPr/>
                              <w:t>1 – инструмент выбора типа расположения скважин 2 – инструмент выбора геологического блока; 3 – инструмент выбора осевой линии геологического блока; 4- строки ввода межскважинных расстояний;  5- инструмент добавления дополнительных скважин. </w:t>
                            </w:r>
                          </w:p>
                          <w:p>
                            <w:pPr>
                              <w:pStyle w:val="Normal"/>
                              <w:ind w:right="87" w:hanging="0"/>
                              <w:jc w:val="center"/>
                              <w:rPr>
                                <w:sz w:val="28"/>
                                <w:szCs w:val="28"/>
                                <w:lang w:val="en-US"/>
                              </w:rPr>
                            </w:pPr>
                            <w:r>
                              <w:rPr>
                                <w:sz w:val="28"/>
                                <w:szCs w:val="28"/>
                              </w:rPr>
                              <w:t>Рисунок 1.11 –Режим «Расчет»</w:t>
                            </w:r>
                          </w:p>
                          <w:p>
                            <w:pPr>
                              <w:pStyle w:val="Normal"/>
                              <w:rPr>
                                <w:sz w:val="28"/>
                                <w:szCs w:val="28"/>
                                <w:lang w:val="en-US"/>
                              </w:rPr>
                            </w:pPr>
                            <w:r>
                              <w:rPr>
                                <w:sz w:val="28"/>
                                <w:szCs w:val="28"/>
                                <w:lang w:val="en-US"/>
                              </w:rPr>
                            </w:r>
                          </w:p>
                          <w:p>
                            <w:pPr>
                              <w:pStyle w:val="Normal"/>
                              <w:rPr/>
                            </w:pPr>
                            <w:r>
                              <w:rPr/>
                            </w:r>
                          </w:p>
                        </w:txbxContent>
                      </wps:txbx>
                      <wps:bodyPr anchor="t" lIns="91440" tIns="45720" rIns="91440" bIns="45720">
                        <a:noAutofit/>
                      </wps:bodyPr>
                    </wps:wsp>
                  </a:graphicData>
                </a:graphic>
              </wp:anchor>
            </w:drawing>
          </mc:Choice>
          <mc:Fallback>
            <w:pict>
              <v:rect fillcolor="#FFFFFF" strokecolor="#FFFFFF" strokeweight="0pt" style="position:absolute;rotation:0;width:469.55pt;height:79.15pt;mso-wrap-distance-left:9.05pt;mso-wrap-distance-right:9.05pt;mso-wrap-distance-top:0pt;mso-wrap-distance-bottom:0pt;margin-top:290.8pt;mso-position-vertical-relative:text;margin-left:-1.1pt;mso-position-horizontal-relative:text">
                <v:textbox>
                  <w:txbxContent>
                    <w:p>
                      <w:pPr>
                        <w:pStyle w:val="Normal"/>
                        <w:ind w:right="87" w:hanging="0"/>
                        <w:jc w:val="center"/>
                        <w:rPr/>
                      </w:pPr>
                      <w:r>
                        <w:rPr/>
                        <w:t>1 – инструмент выбора типа расположения скважин 2 – инструмент выбора геологического блока; 3 – инструмент выбора осевой линии геологического блока; 4- строки ввода межскважинных расстояний;  5- инструмент добавления дополнительных скважин. </w:t>
                      </w:r>
                    </w:p>
                    <w:p>
                      <w:pPr>
                        <w:pStyle w:val="Normal"/>
                        <w:ind w:right="87" w:hanging="0"/>
                        <w:jc w:val="center"/>
                        <w:rPr>
                          <w:sz w:val="28"/>
                          <w:szCs w:val="28"/>
                          <w:lang w:val="en-US"/>
                        </w:rPr>
                      </w:pPr>
                      <w:r>
                        <w:rPr>
                          <w:sz w:val="28"/>
                          <w:szCs w:val="28"/>
                        </w:rPr>
                        <w:t>Рисунок 1.11 –Режим «Расчет»</w:t>
                      </w:r>
                    </w:p>
                    <w:p>
                      <w:pPr>
                        <w:pStyle w:val="Normal"/>
                        <w:rPr>
                          <w:sz w:val="28"/>
                          <w:szCs w:val="28"/>
                          <w:lang w:val="en-US"/>
                        </w:rPr>
                      </w:pPr>
                      <w:r>
                        <w:rPr>
                          <w:sz w:val="28"/>
                          <w:szCs w:val="28"/>
                          <w:lang w:val="en-US"/>
                        </w:rPr>
                      </w:r>
                    </w:p>
                    <w:p>
                      <w:pPr>
                        <w:pStyle w:val="Normal"/>
                        <w:rPr/>
                      </w:pPr>
                      <w:r>
                        <w:rPr/>
                      </w:r>
                    </w:p>
                  </w:txbxContent>
                </v:textbox>
                <w10:wrap type="none"/>
              </v:rect>
            </w:pict>
          </mc:Fallback>
        </mc:AlternateContent>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t xml:space="preserve">Далее производится выбор геологического блока 2 (рисунок 1.11). После этого для выбранного геологического блока выбирается осевая линия 3 (рисунок 1.11).. Далее с помощью инструментов 4 (рисунок 1.11) производится задание расстояний между скважинами, для рядных схем, выбор и настройка типа примитива для ячеистых схем. Набор параметров зависит от выбранного типа расположения скважин. Для автоматического построения можно указать добавлять ли технологические скважины если расстояние больше заданного значения. После нажатия кнопки «Построение» производится автоматическое построение блока, появляется окно для ввода имени блока. </w:t>
      </w:r>
    </w:p>
    <w:p>
      <w:pPr>
        <w:pStyle w:val="14"/>
        <w:rPr>
          <w:sz w:val="28"/>
          <w:szCs w:val="28"/>
        </w:rPr>
      </w:pPr>
      <w:r>
        <w:rPr>
          <w:sz w:val="28"/>
          <w:szCs w:val="28"/>
        </w:rPr>
      </w:r>
    </w:p>
    <w:p>
      <w:pPr>
        <w:pStyle w:val="14"/>
        <w:rPr/>
      </w:pPr>
      <w:bookmarkStart w:id="92" w:name="__RefHeading___Toc530495741"/>
      <w:bookmarkEnd w:id="92"/>
      <w:r>
        <w:rPr/>
        <w:t>1.10  Расчет интервалов посадки фильтров</w:t>
      </w:r>
    </w:p>
    <w:p>
      <w:pPr>
        <w:pStyle w:val="Normal"/>
        <w:spacing w:lineRule="auto" w:line="360"/>
        <w:ind w:firstLine="709"/>
        <w:jc w:val="both"/>
        <w:rPr>
          <w:sz w:val="28"/>
          <w:szCs w:val="28"/>
        </w:rPr>
      </w:pPr>
      <w:r>
        <w:rPr>
          <w:sz w:val="28"/>
          <w:szCs w:val="28"/>
        </w:rPr>
        <w:t>Интервалы посадки фильтров определяются на вкладке «Схема вскрытия», для этого необходимо перейти со вкладки «План» на вкладку «Объем». При переходе автоматически на основе данных дневной поверхности, кровли и подошвы продуктивного горизонта будут рассчитаны глубина скважин и интервалы посадки фильтров. Внешний вид вкладки «Объем» представлен на рисунке 1.12. Визуализация поверхностей производится в трехмерном режиме. Фильтры скважин подсвечиваются голубым цветом.</w:t>
      </w:r>
    </w:p>
    <w:p>
      <w:pPr>
        <w:pStyle w:val="Normal"/>
        <w:rPr/>
      </w:pPr>
      <w:bookmarkStart w:id="93" w:name="_1604237471"/>
      <w:bookmarkStart w:id="94" w:name="_1540584487"/>
      <w:bookmarkStart w:id="95" w:name="_1512318616"/>
      <w:bookmarkEnd w:id="93"/>
      <w:bookmarkEnd w:id="94"/>
      <w:bookmarkEnd w:id="95"/>
      <w:r>
        <w:rPr/>
        <w:object w:dxaOrig="9720" w:dyaOrig="9252">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469.45pt;height:346pt" filled="f" o:ole="">
            <v:imagedata r:id="rId29" o:title=""/>
          </v:shape>
          <o:OLEObject Type="Embed" ProgID="" ShapeID="ole_rId28" DrawAspect="Content" ObjectID="_1148516683" r:id="rId28"/>
        </w:object>
      </w:r>
      <w:r>
        <mc:AlternateContent>
          <mc:Choice Requires="wps">
            <w:drawing>
              <wp:anchor behindDoc="0" distT="0" distB="0" distL="114935" distR="114935" simplePos="0" locked="0" layoutInCell="0" allowOverlap="1" relativeHeight="34">
                <wp:simplePos x="0" y="0"/>
                <wp:positionH relativeFrom="column">
                  <wp:posOffset>8255</wp:posOffset>
                </wp:positionH>
                <wp:positionV relativeFrom="paragraph">
                  <wp:posOffset>4331970</wp:posOffset>
                </wp:positionV>
                <wp:extent cx="5963285" cy="856615"/>
                <wp:effectExtent l="0" t="0" r="0" b="0"/>
                <wp:wrapNone/>
                <wp:docPr id="17" name="Врезка13"/>
                <a:graphic xmlns:a="http://schemas.openxmlformats.org/drawingml/2006/main">
                  <a:graphicData uri="http://schemas.microsoft.com/office/word/2010/wordprocessingShape">
                    <wps:wsp>
                      <wps:cNvSpPr txBox="1"/>
                      <wps:spPr>
                        <a:xfrm>
                          <a:off x="0" y="0"/>
                          <a:ext cx="5963285" cy="856615"/>
                        </a:xfrm>
                        <a:prstGeom prst="rect"/>
                        <a:solidFill>
                          <a:srgbClr val="FFFFFF"/>
                        </a:solidFill>
                        <a:ln w="9525">
                          <a:solidFill>
                            <a:srgbClr val="FFFFFF"/>
                          </a:solidFill>
                        </a:ln>
                      </wps:spPr>
                      <wps:txbx>
                        <w:txbxContent>
                          <w:p>
                            <w:pPr>
                              <w:pStyle w:val="Normal"/>
                              <w:ind w:right="87" w:hanging="0"/>
                              <w:jc w:val="center"/>
                              <w:rPr/>
                            </w:pPr>
                            <w:r>
                              <w:rPr/>
                              <w:t>1 – интервалы отображения; 2 – инструмент настройки отображения объектов; 3 – дневная поверхность; 4 – стволы скважин; 5- фильтры скважин; 6 – кровля и подошва продуктивного горизонта.</w:t>
                            </w:r>
                          </w:p>
                          <w:p>
                            <w:pPr>
                              <w:pStyle w:val="Normal"/>
                              <w:ind w:right="87" w:hanging="0"/>
                              <w:jc w:val="center"/>
                              <w:rPr>
                                <w:sz w:val="28"/>
                                <w:szCs w:val="28"/>
                                <w:lang w:val="en-US"/>
                              </w:rPr>
                            </w:pPr>
                            <w:r>
                              <w:rPr>
                                <w:sz w:val="28"/>
                                <w:szCs w:val="28"/>
                              </w:rPr>
                              <w:t>Рисунок 1.12 –Режим «Расчет»</w:t>
                            </w:r>
                          </w:p>
                          <w:p>
                            <w:pPr>
                              <w:pStyle w:val="Normal"/>
                              <w:rPr>
                                <w:sz w:val="28"/>
                                <w:szCs w:val="28"/>
                                <w:lang w:val="en-US"/>
                              </w:rPr>
                            </w:pPr>
                            <w:r>
                              <w:rPr>
                                <w:sz w:val="28"/>
                                <w:szCs w:val="28"/>
                                <w:lang w:val="en-US"/>
                              </w:rPr>
                            </w:r>
                          </w:p>
                          <w:p>
                            <w:pPr>
                              <w:pStyle w:val="Normal"/>
                              <w:rPr/>
                            </w:pPr>
                            <w:r>
                              <w:rPr/>
                            </w:r>
                          </w:p>
                        </w:txbxContent>
                      </wps:txbx>
                      <wps:bodyPr anchor="t" lIns="91440" tIns="45720" rIns="91440" bIns="45720">
                        <a:noAutofit/>
                      </wps:bodyPr>
                    </wps:wsp>
                  </a:graphicData>
                </a:graphic>
              </wp:anchor>
            </w:drawing>
          </mc:Choice>
          <mc:Fallback>
            <w:pict>
              <v:rect fillcolor="#FFFFFF" strokecolor="#FFFFFF" strokeweight="0pt" style="position:absolute;rotation:0;width:469.55pt;height:67.45pt;mso-wrap-distance-left:9.05pt;mso-wrap-distance-right:9.05pt;mso-wrap-distance-top:0pt;mso-wrap-distance-bottom:0pt;margin-top:341.1pt;mso-position-vertical-relative:text;margin-left:0.65pt;mso-position-horizontal-relative:text">
                <v:textbox>
                  <w:txbxContent>
                    <w:p>
                      <w:pPr>
                        <w:pStyle w:val="Normal"/>
                        <w:ind w:right="87" w:hanging="0"/>
                        <w:jc w:val="center"/>
                        <w:rPr/>
                      </w:pPr>
                      <w:r>
                        <w:rPr/>
                        <w:t>1 – интервалы отображения; 2 – инструмент настройки отображения объектов; 3 – дневная поверхность; 4 – стволы скважин; 5- фильтры скважин; 6 – кровля и подошва продуктивного горизонта.</w:t>
                      </w:r>
                    </w:p>
                    <w:p>
                      <w:pPr>
                        <w:pStyle w:val="Normal"/>
                        <w:ind w:right="87" w:hanging="0"/>
                        <w:jc w:val="center"/>
                        <w:rPr>
                          <w:sz w:val="28"/>
                          <w:szCs w:val="28"/>
                          <w:lang w:val="en-US"/>
                        </w:rPr>
                      </w:pPr>
                      <w:r>
                        <w:rPr>
                          <w:sz w:val="28"/>
                          <w:szCs w:val="28"/>
                        </w:rPr>
                        <w:t>Рисунок 1.12 –Режим «Расчет»</w:t>
                      </w:r>
                    </w:p>
                    <w:p>
                      <w:pPr>
                        <w:pStyle w:val="Normal"/>
                        <w:rPr>
                          <w:sz w:val="28"/>
                          <w:szCs w:val="28"/>
                          <w:lang w:val="en-US"/>
                        </w:rPr>
                      </w:pPr>
                      <w:r>
                        <w:rPr>
                          <w:sz w:val="28"/>
                          <w:szCs w:val="28"/>
                          <w:lang w:val="en-US"/>
                        </w:rPr>
                      </w:r>
                    </w:p>
                    <w:p>
                      <w:pPr>
                        <w:pStyle w:val="Normal"/>
                        <w:rPr/>
                      </w:pPr>
                      <w:r>
                        <w:rPr/>
                      </w:r>
                    </w:p>
                  </w:txbxContent>
                </v:textbox>
                <w10:wrap type="none"/>
              </v:rect>
            </w:pict>
          </mc:Fallback>
        </mc:AlternateContent>
      </w:r>
    </w:p>
    <w:p>
      <w:pPr>
        <w:pStyle w:val="14"/>
        <w:rPr/>
      </w:pPr>
      <w:r>
        <w:rPr/>
      </w:r>
    </w:p>
    <w:p>
      <w:pPr>
        <w:pStyle w:val="14"/>
        <w:rPr/>
      </w:pPr>
      <w:r>
        <w:rPr/>
      </w:r>
    </w:p>
    <w:p>
      <w:pPr>
        <w:pStyle w:val="14"/>
        <w:rPr/>
      </w:pPr>
      <w:r>
        <w:rPr/>
      </w:r>
    </w:p>
    <w:p>
      <w:pPr>
        <w:pStyle w:val="14"/>
        <w:rPr/>
      </w:pPr>
      <w:r>
        <w:rPr/>
      </w:r>
    </w:p>
    <w:p>
      <w:pPr>
        <w:pStyle w:val="14"/>
        <w:rPr/>
      </w:pPr>
      <w:r>
        <w:rPr/>
      </w:r>
    </w:p>
    <w:p>
      <w:pPr>
        <w:pStyle w:val="14"/>
        <w:rPr/>
      </w:pPr>
      <w:bookmarkStart w:id="96" w:name="__RefHeading___Toc530495742"/>
      <w:bookmarkEnd w:id="96"/>
      <w:r>
        <w:rPr/>
        <w:t>1.11  Расчет геотехнологических параметров блока</w:t>
      </w:r>
    </w:p>
    <w:p>
      <w:pPr>
        <w:pStyle w:val="Normal"/>
        <w:spacing w:lineRule="auto" w:line="360"/>
        <w:jc w:val="both"/>
        <w:rPr>
          <w:sz w:val="28"/>
          <w:szCs w:val="28"/>
        </w:rPr>
      </w:pPr>
      <w:r>
        <w:rPr>
          <w:sz w:val="28"/>
          <w:szCs w:val="28"/>
        </w:rPr>
        <w:t xml:space="preserve">После создания проекта эксплуатационного блока можно перейти к расчету геотехнологических параметров для выбранного блока. Расчет геотехнологических параметров блока производится на закладке «Геотехнологические параметры» (рисунок 1.13).  Расчет параметров блока производится автоматически при выборе блока с помощью инструмента 4. Результаты расчета геотехнологических параметров блока отображаются в виде таблицы (5, рисунок 1.13).  Помимо рассчитанных геотехнологических параметров в виде диаграмм  (6, рисунок 1.13) выводятся распределения геотехнологических параметров блока по технологическим ячейкам. Параметры проектных скважин (координаты, глубина, назначение) отображаются в виде таблицы на вкладке «Скважины» (2, рисунок 1.13). </w:t>
      </w:r>
    </w:p>
    <w:p>
      <w:pPr>
        <w:pStyle w:val="Normal"/>
        <w:spacing w:lineRule="auto" w:line="360"/>
        <w:jc w:val="both"/>
        <w:rPr>
          <w:sz w:val="28"/>
          <w:szCs w:val="28"/>
        </w:rPr>
      </w:pPr>
      <w:bookmarkStart w:id="97" w:name="_1604236394"/>
      <w:bookmarkStart w:id="98" w:name="_1604236347"/>
      <w:bookmarkStart w:id="99" w:name="_1540620493"/>
      <w:bookmarkStart w:id="100" w:name="_1540617580"/>
      <w:bookmarkStart w:id="101" w:name="_1540617578"/>
      <w:bookmarkStart w:id="102" w:name="_1540617544"/>
      <w:bookmarkStart w:id="103" w:name="_1540584577"/>
      <w:bookmarkStart w:id="104" w:name="_1512319067"/>
      <w:bookmarkStart w:id="105" w:name="_1478442896"/>
      <w:bookmarkStart w:id="106" w:name="_1446976873"/>
      <w:bookmarkStart w:id="107" w:name="_1446381593"/>
      <w:bookmarkStart w:id="108" w:name="_1446361919"/>
      <w:bookmarkEnd w:id="97"/>
      <w:bookmarkEnd w:id="98"/>
      <w:bookmarkEnd w:id="99"/>
      <w:bookmarkEnd w:id="100"/>
      <w:bookmarkEnd w:id="101"/>
      <w:bookmarkEnd w:id="102"/>
      <w:bookmarkEnd w:id="103"/>
      <w:bookmarkEnd w:id="104"/>
      <w:bookmarkEnd w:id="105"/>
      <w:bookmarkEnd w:id="106"/>
      <w:bookmarkEnd w:id="107"/>
      <w:bookmarkEnd w:id="108"/>
      <w:r>
        <w:rPr>
          <w:sz w:val="28"/>
          <w:szCs w:val="28"/>
        </w:rPr>
        <w:object w:dxaOrig="9720" w:dyaOrig="9252">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468.95pt;height:355.7pt" filled="f" o:ole="">
            <v:imagedata r:id="rId31" o:title=""/>
          </v:shape>
          <o:OLEObject Type="Embed" ProgID="" ShapeID="ole_rId30" DrawAspect="Content" ObjectID="_1136956496" r:id="rId30"/>
        </w:object>
      </w:r>
      <w:r>
        <mc:AlternateContent>
          <mc:Choice Requires="wps">
            <w:drawing>
              <wp:anchor behindDoc="0" distT="0" distB="0" distL="114935" distR="114935" simplePos="0" locked="0" layoutInCell="0" allowOverlap="1" relativeHeight="23">
                <wp:simplePos x="0" y="0"/>
                <wp:positionH relativeFrom="column">
                  <wp:posOffset>-33020</wp:posOffset>
                </wp:positionH>
                <wp:positionV relativeFrom="paragraph">
                  <wp:posOffset>4562475</wp:posOffset>
                </wp:positionV>
                <wp:extent cx="5963285" cy="920750"/>
                <wp:effectExtent l="0" t="0" r="0" b="0"/>
                <wp:wrapNone/>
                <wp:docPr id="18" name="Врезка14"/>
                <a:graphic xmlns:a="http://schemas.openxmlformats.org/drawingml/2006/main">
                  <a:graphicData uri="http://schemas.microsoft.com/office/word/2010/wordprocessingShape">
                    <wps:wsp>
                      <wps:cNvSpPr txBox="1"/>
                      <wps:spPr>
                        <a:xfrm>
                          <a:off x="0" y="0"/>
                          <a:ext cx="5963285" cy="920750"/>
                        </a:xfrm>
                        <a:prstGeom prst="rect"/>
                        <a:solidFill>
                          <a:srgbClr val="FFFFFF"/>
                        </a:solidFill>
                        <a:ln w="9525">
                          <a:solidFill>
                            <a:srgbClr val="FFFFFF"/>
                          </a:solidFill>
                        </a:ln>
                      </wps:spPr>
                      <wps:txbx>
                        <w:txbxContent>
                          <w:p>
                            <w:pPr>
                              <w:pStyle w:val="Normal"/>
                              <w:ind w:right="87" w:hanging="0"/>
                              <w:jc w:val="center"/>
                              <w:rPr/>
                            </w:pPr>
                            <w:r>
                              <w:rPr/>
                              <w:t xml:space="preserve">1 – вкладка «Блоки»; 2 – вкладка «Скважины»;3 – схема вскрытия; 4 – инструмент выбора блока; 5 – геотехнологические параметры выбранного блока; 6 – диаграммы распределения геотехнологических параметров по ячейкам блока; </w:t>
                            </w:r>
                          </w:p>
                          <w:p>
                            <w:pPr>
                              <w:pStyle w:val="Normal"/>
                              <w:ind w:right="87" w:hanging="0"/>
                              <w:jc w:val="center"/>
                              <w:rPr/>
                            </w:pPr>
                            <w:r>
                              <w:rPr>
                                <w:sz w:val="28"/>
                                <w:szCs w:val="28"/>
                              </w:rPr>
                              <w:t>Рисунок 1.13 –Закладка «Геотехнологические параметры»</w:t>
                            </w:r>
                          </w:p>
                          <w:p>
                            <w:pPr>
                              <w:pStyle w:val="Normal"/>
                              <w:rPr>
                                <w:sz w:val="28"/>
                                <w:szCs w:val="28"/>
                              </w:rPr>
                            </w:pPr>
                            <w:r>
                              <w:rPr>
                                <w:sz w:val="28"/>
                                <w:szCs w:val="28"/>
                              </w:rPr>
                            </w:r>
                          </w:p>
                          <w:p>
                            <w:pPr>
                              <w:pStyle w:val="Normal"/>
                              <w:rPr/>
                            </w:pPr>
                            <w:r>
                              <w:rPr/>
                            </w:r>
                          </w:p>
                        </w:txbxContent>
                      </wps:txbx>
                      <wps:bodyPr anchor="t" lIns="91440" tIns="45720" rIns="91440" bIns="45720">
                        <a:noAutofit/>
                      </wps:bodyPr>
                    </wps:wsp>
                  </a:graphicData>
                </a:graphic>
              </wp:anchor>
            </w:drawing>
          </mc:Choice>
          <mc:Fallback>
            <w:pict>
              <v:rect fillcolor="#FFFFFF" strokecolor="#FFFFFF" strokeweight="0pt" style="position:absolute;rotation:0;width:469.55pt;height:72.5pt;mso-wrap-distance-left:9.05pt;mso-wrap-distance-right:9.05pt;mso-wrap-distance-top:0pt;mso-wrap-distance-bottom:0pt;margin-top:359.25pt;mso-position-vertical-relative:text;margin-left:-2.6pt;mso-position-horizontal-relative:text">
                <v:textbox>
                  <w:txbxContent>
                    <w:p>
                      <w:pPr>
                        <w:pStyle w:val="Normal"/>
                        <w:ind w:right="87" w:hanging="0"/>
                        <w:jc w:val="center"/>
                        <w:rPr/>
                      </w:pPr>
                      <w:r>
                        <w:rPr/>
                        <w:t xml:space="preserve">1 – вкладка «Блоки»; 2 – вкладка «Скважины»;3 – схема вскрытия; 4 – инструмент выбора блока; 5 – геотехнологические параметры выбранного блока; 6 – диаграммы распределения геотехнологических параметров по ячейкам блока; </w:t>
                      </w:r>
                    </w:p>
                    <w:p>
                      <w:pPr>
                        <w:pStyle w:val="Normal"/>
                        <w:ind w:right="87" w:hanging="0"/>
                        <w:jc w:val="center"/>
                        <w:rPr/>
                      </w:pPr>
                      <w:r>
                        <w:rPr>
                          <w:sz w:val="28"/>
                          <w:szCs w:val="28"/>
                        </w:rPr>
                        <w:t>Рисунок 1.13 –Закладка «Геотехнологические параметры»</w:t>
                      </w:r>
                    </w:p>
                    <w:p>
                      <w:pPr>
                        <w:pStyle w:val="Normal"/>
                        <w:rPr>
                          <w:sz w:val="28"/>
                          <w:szCs w:val="28"/>
                        </w:rPr>
                      </w:pPr>
                      <w:r>
                        <w:rPr>
                          <w:sz w:val="28"/>
                          <w:szCs w:val="28"/>
                        </w:rPr>
                      </w:r>
                    </w:p>
                    <w:p>
                      <w:pPr>
                        <w:pStyle w:val="Normal"/>
                        <w:rPr/>
                      </w:pPr>
                      <w:r>
                        <w:rPr/>
                      </w:r>
                    </w:p>
                  </w:txbxContent>
                </v:textbox>
                <w10:wrap type="none"/>
              </v:rect>
            </w:pict>
          </mc:Fallback>
        </mc:AlternateContent>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pPr>
      <w:r>
        <w:rPr>
          <w:sz w:val="28"/>
          <w:szCs w:val="28"/>
        </w:rPr>
        <w:t>Внешний вид вкладки «Скважины» представлен на рисунке 1.14. В таблице скважин сначала выводятся закачные скважины, потом откачные. Эту таблицу можно скопировать в буфер обмена путем нажатая кнопки 1.</w:t>
      </w:r>
    </w:p>
    <w:p>
      <w:pPr>
        <w:pStyle w:val="14"/>
        <w:rPr>
          <w:sz w:val="28"/>
          <w:szCs w:val="28"/>
        </w:rPr>
      </w:pPr>
      <w:r>
        <w:rPr>
          <w:sz w:val="28"/>
          <w:szCs w:val="28"/>
        </w:rPr>
      </w:r>
    </w:p>
    <w:p>
      <w:pPr>
        <w:pStyle w:val="14"/>
        <w:rPr/>
      </w:pPr>
      <w:bookmarkStart w:id="109" w:name="__RefHeading___Toc530495743"/>
      <w:bookmarkEnd w:id="109"/>
      <w:r>
        <w:rPr/>
        <w:t>1.12  Расчет прогнозных геотехнологических показателей отработки блока</w:t>
      </w:r>
    </w:p>
    <w:p>
      <w:pPr>
        <w:pStyle w:val="Normal"/>
        <w:spacing w:lineRule="auto" w:line="360"/>
        <w:jc w:val="both"/>
        <w:rPr/>
      </w:pPr>
      <w:r>
        <w:rPr>
          <w:sz w:val="28"/>
          <w:szCs w:val="28"/>
        </w:rPr>
        <w:t xml:space="preserve">После создания проекта эксплуатационного блока можно перейти к расчету геотехнологических показателей отработки выбранного блока. Расчет геотехнологических параметров блока производится на закладке «Геотехнологические показатели» (рисунок 1.15). Для расчета геотехнологических показателей необходимо задать концентрацию кислоты  5 (рисунок 1.15) и дебит 6 (рисунок 1.15) откачки блока для различных временных этапов отработки блока. </w:t>
      </w:r>
    </w:p>
    <w:p>
      <w:pPr>
        <w:pStyle w:val="Normal"/>
        <w:spacing w:lineRule="auto" w:line="360"/>
        <w:jc w:val="center"/>
        <w:rPr>
          <w:sz w:val="28"/>
          <w:szCs w:val="28"/>
        </w:rPr>
      </w:pPr>
      <w:bookmarkStart w:id="110" w:name="_1604236424"/>
      <w:bookmarkStart w:id="111" w:name="_1540620502"/>
      <w:bookmarkStart w:id="112" w:name="_1540584713"/>
      <w:bookmarkStart w:id="113" w:name="_1512319424"/>
      <w:bookmarkEnd w:id="110"/>
      <w:bookmarkEnd w:id="111"/>
      <w:bookmarkEnd w:id="112"/>
      <w:bookmarkEnd w:id="113"/>
      <w:r>
        <w:rPr>
          <w:sz w:val="28"/>
          <w:szCs w:val="28"/>
        </w:rPr>
        <w:object w:dxaOrig="9720" w:dyaOrig="9252">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469.45pt;height:352.5pt" filled="f" o:ole="">
            <v:imagedata r:id="rId33" o:title=""/>
          </v:shape>
          <o:OLEObject Type="Embed" ProgID="" ShapeID="ole_rId32" DrawAspect="Content" ObjectID="_709097316" r:id="rId32"/>
        </w:object>
      </w:r>
      <w:r>
        <mc:AlternateContent>
          <mc:Choice Requires="wps">
            <w:drawing>
              <wp:anchor behindDoc="0" distT="0" distB="0" distL="114935" distR="114935" simplePos="0" locked="0" layoutInCell="0" allowOverlap="1" relativeHeight="38">
                <wp:simplePos x="0" y="0"/>
                <wp:positionH relativeFrom="column">
                  <wp:posOffset>119380</wp:posOffset>
                </wp:positionH>
                <wp:positionV relativeFrom="paragraph">
                  <wp:posOffset>4614545</wp:posOffset>
                </wp:positionV>
                <wp:extent cx="5963285" cy="493395"/>
                <wp:effectExtent l="0" t="0" r="0" b="0"/>
                <wp:wrapNone/>
                <wp:docPr id="19" name="Врезка15"/>
                <a:graphic xmlns:a="http://schemas.openxmlformats.org/drawingml/2006/main">
                  <a:graphicData uri="http://schemas.microsoft.com/office/word/2010/wordprocessingShape">
                    <wps:wsp>
                      <wps:cNvSpPr txBox="1"/>
                      <wps:spPr>
                        <a:xfrm>
                          <a:off x="0" y="0"/>
                          <a:ext cx="5963285" cy="493395"/>
                        </a:xfrm>
                        <a:prstGeom prst="rect"/>
                        <a:solidFill>
                          <a:srgbClr val="FFFFFF"/>
                        </a:solidFill>
                        <a:ln w="9525">
                          <a:solidFill>
                            <a:srgbClr val="FFFFFF"/>
                          </a:solidFill>
                        </a:ln>
                      </wps:spPr>
                      <wps:txbx>
                        <w:txbxContent>
                          <w:p>
                            <w:pPr>
                              <w:pStyle w:val="Normal"/>
                              <w:ind w:right="87" w:hanging="0"/>
                              <w:jc w:val="center"/>
                              <w:rPr/>
                            </w:pPr>
                            <w:r>
                              <w:rPr/>
                              <w:t>1 – копирование таблицы скважин в буфер обмена.</w:t>
                            </w:r>
                          </w:p>
                          <w:p>
                            <w:pPr>
                              <w:pStyle w:val="Normal"/>
                              <w:ind w:right="87" w:hanging="0"/>
                              <w:jc w:val="center"/>
                              <w:rPr/>
                            </w:pPr>
                            <w:r>
                              <w:rPr>
                                <w:sz w:val="28"/>
                                <w:szCs w:val="28"/>
                              </w:rPr>
                              <w:t>Рисунок 1.14 –Вкладка «Скважины»</w:t>
                            </w:r>
                          </w:p>
                          <w:p>
                            <w:pPr>
                              <w:pStyle w:val="Normal"/>
                              <w:rPr>
                                <w:sz w:val="28"/>
                                <w:szCs w:val="28"/>
                              </w:rPr>
                            </w:pPr>
                            <w:r>
                              <w:rPr>
                                <w:sz w:val="28"/>
                                <w:szCs w:val="28"/>
                              </w:rPr>
                            </w:r>
                          </w:p>
                          <w:p>
                            <w:pPr>
                              <w:pStyle w:val="Normal"/>
                              <w:rPr/>
                            </w:pPr>
                            <w:r>
                              <w:rPr/>
                            </w:r>
                          </w:p>
                        </w:txbxContent>
                      </wps:txbx>
                      <wps:bodyPr anchor="t" lIns="91440" tIns="45720" rIns="91440" bIns="45720">
                        <a:noAutofit/>
                      </wps:bodyPr>
                    </wps:wsp>
                  </a:graphicData>
                </a:graphic>
              </wp:anchor>
            </w:drawing>
          </mc:Choice>
          <mc:Fallback>
            <w:pict>
              <v:rect fillcolor="#FFFFFF" strokecolor="#FFFFFF" strokeweight="0pt" style="position:absolute;rotation:0;width:469.55pt;height:38.85pt;mso-wrap-distance-left:9.05pt;mso-wrap-distance-right:9.05pt;mso-wrap-distance-top:0pt;mso-wrap-distance-bottom:0pt;margin-top:363.35pt;mso-position-vertical-relative:text;margin-left:9.4pt;mso-position-horizontal-relative:text">
                <v:textbox>
                  <w:txbxContent>
                    <w:p>
                      <w:pPr>
                        <w:pStyle w:val="Normal"/>
                        <w:ind w:right="87" w:hanging="0"/>
                        <w:jc w:val="center"/>
                        <w:rPr/>
                      </w:pPr>
                      <w:r>
                        <w:rPr/>
                        <w:t>1 – копирование таблицы скважин в буфер обмена.</w:t>
                      </w:r>
                    </w:p>
                    <w:p>
                      <w:pPr>
                        <w:pStyle w:val="Normal"/>
                        <w:ind w:right="87" w:hanging="0"/>
                        <w:jc w:val="center"/>
                        <w:rPr/>
                      </w:pPr>
                      <w:r>
                        <w:rPr>
                          <w:sz w:val="28"/>
                          <w:szCs w:val="28"/>
                        </w:rPr>
                        <w:t>Рисунок 1.14 –Вкладка «Скважины»</w:t>
                      </w:r>
                    </w:p>
                    <w:p>
                      <w:pPr>
                        <w:pStyle w:val="Normal"/>
                        <w:rPr>
                          <w:sz w:val="28"/>
                          <w:szCs w:val="28"/>
                        </w:rPr>
                      </w:pPr>
                      <w:r>
                        <w:rPr>
                          <w:sz w:val="28"/>
                          <w:szCs w:val="28"/>
                        </w:rPr>
                      </w:r>
                    </w:p>
                    <w:p>
                      <w:pPr>
                        <w:pStyle w:val="Normal"/>
                        <w:rPr/>
                      </w:pPr>
                      <w:r>
                        <w:rPr/>
                      </w:r>
                    </w:p>
                  </w:txbxContent>
                </v:textbox>
                <w10:wrap type="none"/>
              </v:rect>
            </w:pict>
          </mc:Fallback>
        </mc:AlternateContent>
      </w:r>
    </w:p>
    <w:p>
      <w:pPr>
        <w:pStyle w:val="Normal"/>
        <w:spacing w:lineRule="auto" w:line="360"/>
        <w:jc w:val="center"/>
        <w:rPr>
          <w:sz w:val="28"/>
          <w:szCs w:val="28"/>
        </w:rPr>
      </w:pPr>
      <w:r>
        <w:rPr>
          <w:sz w:val="28"/>
          <w:szCs w:val="28"/>
        </w:rPr>
      </w:r>
    </w:p>
    <w:p>
      <w:pPr>
        <w:pStyle w:val="Normal"/>
        <w:spacing w:lineRule="auto" w:line="360"/>
        <w:jc w:val="center"/>
        <w:rPr>
          <w:sz w:val="28"/>
          <w:szCs w:val="28"/>
        </w:rPr>
      </w:pPr>
      <w:r>
        <w:rPr>
          <w:sz w:val="28"/>
          <w:szCs w:val="28"/>
        </w:rPr>
      </w:r>
    </w:p>
    <w:p>
      <w:pPr>
        <w:pStyle w:val="Normal"/>
        <w:spacing w:lineRule="auto" w:line="360"/>
        <w:ind w:firstLine="709"/>
        <w:jc w:val="both"/>
        <w:rPr>
          <w:sz w:val="28"/>
          <w:szCs w:val="28"/>
        </w:rPr>
      </w:pPr>
      <w:r>
        <w:rPr>
          <w:sz w:val="28"/>
          <w:szCs w:val="28"/>
        </w:rPr>
        <w:t>Концентрация кислоты может быть задана в виде таблицы  либо с помощью графика, путем нажатия левой клавиши мыши в области графика, соответствующей определенному временному интервалу. Дебит блока задается аналогично. После ввода исходных данных рассчитываются временные зависимости геотехнологических показателей отработки блока. Расчет зависимостей осуществляется для выбранного блока с помощью инструмента 1, на заданный временной промежуток (2, рисунок 1.15). В качестве параметров многофакторной модели при первом открытии вкладки устанавливаются параметры по умолчанию. В дальнейшем параметры модели могут быть подгружены из базы технологических данных, для существующих блоков, или могут быть заданы вручную с помощью инструментов 8.</w:t>
      </w:r>
    </w:p>
    <w:p>
      <w:pPr>
        <w:pStyle w:val="Normal"/>
        <w:spacing w:lineRule="auto" w:line="360"/>
        <w:jc w:val="both"/>
        <w:rPr>
          <w:sz w:val="28"/>
          <w:szCs w:val="28"/>
        </w:rPr>
      </w:pPr>
      <w:bookmarkStart w:id="114" w:name="_1604236588"/>
      <w:bookmarkStart w:id="115" w:name="_1540618181"/>
      <w:bookmarkStart w:id="116" w:name="_1540584776"/>
      <w:bookmarkEnd w:id="114"/>
      <w:bookmarkEnd w:id="115"/>
      <w:bookmarkEnd w:id="116"/>
      <w:r>
        <w:rPr>
          <w:sz w:val="28"/>
          <w:szCs w:val="28"/>
        </w:rPr>
        <w:object w:dxaOrig="9720" w:dyaOrig="9252">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469.45pt;height:355.7pt" filled="f" o:ole="">
            <v:imagedata r:id="rId35" o:title=""/>
          </v:shape>
          <o:OLEObject Type="Embed" ProgID="" ShapeID="ole_rId34" DrawAspect="Content" ObjectID="_770577322" r:id="rId34"/>
        </w:object>
      </w:r>
      <w:r>
        <mc:AlternateContent>
          <mc:Choice Requires="wps">
            <w:drawing>
              <wp:anchor behindDoc="0" distT="0" distB="0" distL="114935" distR="114935" simplePos="0" locked="0" layoutInCell="0" allowOverlap="1" relativeHeight="35">
                <wp:simplePos x="0" y="0"/>
                <wp:positionH relativeFrom="column">
                  <wp:posOffset>-86360</wp:posOffset>
                </wp:positionH>
                <wp:positionV relativeFrom="paragraph">
                  <wp:posOffset>4531995</wp:posOffset>
                </wp:positionV>
                <wp:extent cx="5963285" cy="991870"/>
                <wp:effectExtent l="0" t="0" r="0" b="0"/>
                <wp:wrapNone/>
                <wp:docPr id="20" name="Врезка16"/>
                <a:graphic xmlns:a="http://schemas.openxmlformats.org/drawingml/2006/main">
                  <a:graphicData uri="http://schemas.microsoft.com/office/word/2010/wordprocessingShape">
                    <wps:wsp>
                      <wps:cNvSpPr txBox="1"/>
                      <wps:spPr>
                        <a:xfrm>
                          <a:off x="0" y="0"/>
                          <a:ext cx="5963285" cy="991870"/>
                        </a:xfrm>
                        <a:prstGeom prst="rect"/>
                        <a:solidFill>
                          <a:srgbClr val="FFFFFF"/>
                        </a:solidFill>
                        <a:ln w="9525">
                          <a:solidFill>
                            <a:srgbClr val="FFFFFF"/>
                          </a:solidFill>
                        </a:ln>
                      </wps:spPr>
                      <wps:txbx>
                        <w:txbxContent>
                          <w:p>
                            <w:pPr>
                              <w:pStyle w:val="Normal"/>
                              <w:ind w:right="87" w:hanging="0"/>
                              <w:jc w:val="center"/>
                              <w:rPr/>
                            </w:pPr>
                            <w:r>
                              <w:rPr/>
                              <w:t>1 – инструмент «выбор блока»; 2 – инструменты выбора даты; 3 – выбор МФА модели блока; 4 – кнопка «Расчет до 80%»; 5 – кнопка «Параметры реагентов»; 6 – кнопка «Значения дебитов»;7– график зависимостей показателей отработки; 8 – параметры МФА модели</w:t>
                            </w:r>
                          </w:p>
                          <w:p>
                            <w:pPr>
                              <w:pStyle w:val="Normal"/>
                              <w:ind w:right="87" w:hanging="0"/>
                              <w:jc w:val="center"/>
                              <w:rPr>
                                <w:sz w:val="28"/>
                                <w:szCs w:val="28"/>
                              </w:rPr>
                            </w:pPr>
                            <w:r>
                              <w:rPr>
                                <w:sz w:val="28"/>
                                <w:szCs w:val="28"/>
                              </w:rPr>
                              <w:t>Рисунок 1.16 – Закладка «Геотехнологические показатели»</w:t>
                            </w:r>
                          </w:p>
                          <w:p>
                            <w:pPr>
                              <w:pStyle w:val="Normal"/>
                              <w:rPr>
                                <w:sz w:val="28"/>
                                <w:szCs w:val="28"/>
                              </w:rPr>
                            </w:pPr>
                            <w:r>
                              <w:rPr>
                                <w:sz w:val="28"/>
                                <w:szCs w:val="28"/>
                              </w:rPr>
                            </w:r>
                          </w:p>
                          <w:p>
                            <w:pPr>
                              <w:pStyle w:val="Normal"/>
                              <w:rPr/>
                            </w:pPr>
                            <w:r>
                              <w:rPr/>
                            </w:r>
                          </w:p>
                        </w:txbxContent>
                      </wps:txbx>
                      <wps:bodyPr anchor="t" lIns="91440" tIns="45720" rIns="91440" bIns="45720">
                        <a:noAutofit/>
                      </wps:bodyPr>
                    </wps:wsp>
                  </a:graphicData>
                </a:graphic>
              </wp:anchor>
            </w:drawing>
          </mc:Choice>
          <mc:Fallback>
            <w:pict>
              <v:rect fillcolor="#FFFFFF" strokecolor="#FFFFFF" strokeweight="0pt" style="position:absolute;rotation:0;width:469.55pt;height:78.1pt;mso-wrap-distance-left:9.05pt;mso-wrap-distance-right:9.05pt;mso-wrap-distance-top:0pt;mso-wrap-distance-bottom:0pt;margin-top:356.85pt;mso-position-vertical-relative:text;margin-left:-6.8pt;mso-position-horizontal-relative:text">
                <v:textbox>
                  <w:txbxContent>
                    <w:p>
                      <w:pPr>
                        <w:pStyle w:val="Normal"/>
                        <w:ind w:right="87" w:hanging="0"/>
                        <w:jc w:val="center"/>
                        <w:rPr/>
                      </w:pPr>
                      <w:r>
                        <w:rPr/>
                        <w:t>1 – инструмент «выбор блока»; 2 – инструменты выбора даты; 3 – выбор МФА модели блока; 4 – кнопка «Расчет до 80%»; 5 – кнопка «Параметры реагентов»; 6 – кнопка «Значения дебитов»;7– график зависимостей показателей отработки; 8 – параметры МФА модели</w:t>
                      </w:r>
                    </w:p>
                    <w:p>
                      <w:pPr>
                        <w:pStyle w:val="Normal"/>
                        <w:ind w:right="87" w:hanging="0"/>
                        <w:jc w:val="center"/>
                        <w:rPr>
                          <w:sz w:val="28"/>
                          <w:szCs w:val="28"/>
                        </w:rPr>
                      </w:pPr>
                      <w:r>
                        <w:rPr>
                          <w:sz w:val="28"/>
                          <w:szCs w:val="28"/>
                        </w:rPr>
                        <w:t>Рисунок 1.16 – Закладка «Геотехнологические показатели»</w:t>
                      </w:r>
                    </w:p>
                    <w:p>
                      <w:pPr>
                        <w:pStyle w:val="Normal"/>
                        <w:rPr>
                          <w:sz w:val="28"/>
                          <w:szCs w:val="28"/>
                        </w:rPr>
                      </w:pPr>
                      <w:r>
                        <w:rPr>
                          <w:sz w:val="28"/>
                          <w:szCs w:val="28"/>
                        </w:rPr>
                      </w:r>
                    </w:p>
                    <w:p>
                      <w:pPr>
                        <w:pStyle w:val="Normal"/>
                        <w:rPr/>
                      </w:pPr>
                      <w:r>
                        <w:rPr/>
                      </w:r>
                    </w:p>
                  </w:txbxContent>
                </v:textbox>
                <w10:wrap type="none"/>
              </v:rect>
            </w:pict>
          </mc:Fallback>
        </mc:AlternateContent>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ind w:firstLine="709"/>
        <w:jc w:val="both"/>
        <w:rPr/>
      </w:pPr>
      <w:r>
        <w:rPr>
          <w:sz w:val="28"/>
          <w:szCs w:val="28"/>
        </w:rPr>
        <w:t xml:space="preserve">Таблица рассчитанных геотехнологических показателей отображается на вкладке «Показатели». Внешний вид вкладки представлен на рисунке 1.16. Выбор блока осуществляется с помощью инструмента 1. Таблица рассчитанных геотехнологических показателей на заданную степень извлечения отображается в верхней части окна (3, рисунок 1.16). Также формируется график движения запасов блока по месяцам (4, рисунок 1.16). </w:t>
      </w:r>
    </w:p>
    <w:p>
      <w:pPr>
        <w:pStyle w:val="Normal"/>
        <w:spacing w:lineRule="auto" w:line="360"/>
        <w:jc w:val="both"/>
        <w:rPr>
          <w:sz w:val="28"/>
          <w:szCs w:val="28"/>
        </w:rPr>
      </w:pPr>
      <w:bookmarkStart w:id="117" w:name="_1604237144"/>
      <w:bookmarkStart w:id="118" w:name="_1540618850"/>
      <w:bookmarkStart w:id="119" w:name="_1540584861"/>
      <w:bookmarkEnd w:id="117"/>
      <w:bookmarkEnd w:id="118"/>
      <w:bookmarkEnd w:id="119"/>
      <w:r>
        <w:rPr>
          <w:sz w:val="28"/>
          <w:szCs w:val="28"/>
        </w:rPr>
        <w:object w:dxaOrig="9720" w:dyaOrig="9252">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468.95pt;height:359.9pt" filled="f" o:ole="">
            <v:imagedata r:id="rId37" o:title=""/>
          </v:shape>
          <o:OLEObject Type="Embed" ProgID="" ShapeID="ole_rId36" DrawAspect="Content" ObjectID="_1582054540" r:id="rId36"/>
        </w:object>
      </w:r>
      <w:r>
        <mc:AlternateContent>
          <mc:Choice Requires="wps">
            <w:drawing>
              <wp:anchor behindDoc="0" distT="0" distB="0" distL="114935" distR="114935" simplePos="0" locked="0" layoutInCell="0" allowOverlap="1" relativeHeight="36">
                <wp:simplePos x="0" y="0"/>
                <wp:positionH relativeFrom="column">
                  <wp:posOffset>-24765</wp:posOffset>
                </wp:positionH>
                <wp:positionV relativeFrom="paragraph">
                  <wp:posOffset>4531360</wp:posOffset>
                </wp:positionV>
                <wp:extent cx="5963285" cy="1122680"/>
                <wp:effectExtent l="0" t="0" r="0" b="0"/>
                <wp:wrapNone/>
                <wp:docPr id="21" name="Врезка17"/>
                <a:graphic xmlns:a="http://schemas.openxmlformats.org/drawingml/2006/main">
                  <a:graphicData uri="http://schemas.microsoft.com/office/word/2010/wordprocessingShape">
                    <wps:wsp>
                      <wps:cNvSpPr txBox="1"/>
                      <wps:spPr>
                        <a:xfrm>
                          <a:off x="0" y="0"/>
                          <a:ext cx="5963285" cy="1122680"/>
                        </a:xfrm>
                        <a:prstGeom prst="rect"/>
                        <a:solidFill>
                          <a:srgbClr val="FFFFFF"/>
                        </a:solidFill>
                        <a:ln w="9525">
                          <a:solidFill>
                            <a:srgbClr val="FFFFFF"/>
                          </a:solidFill>
                        </a:ln>
                      </wps:spPr>
                      <wps:txbx>
                        <w:txbxContent>
                          <w:p>
                            <w:pPr>
                              <w:pStyle w:val="Normal"/>
                              <w:ind w:right="87" w:hanging="0"/>
                              <w:jc w:val="center"/>
                              <w:rPr/>
                            </w:pPr>
                            <w:r>
                              <w:rPr/>
                              <w:t>1 – инструмент выбора блока; 2 – кнопка «Графики»; 3 – геотехнологические показатели отработки блока на заданную степень извлечения; 4 – график движения запасов блока.</w:t>
                            </w:r>
                          </w:p>
                          <w:p>
                            <w:pPr>
                              <w:pStyle w:val="Normal"/>
                              <w:ind w:right="87" w:hanging="0"/>
                              <w:jc w:val="center"/>
                              <w:rPr>
                                <w:sz w:val="28"/>
                                <w:szCs w:val="28"/>
                              </w:rPr>
                            </w:pPr>
                            <w:r>
                              <w:rPr>
                                <w:sz w:val="28"/>
                                <w:szCs w:val="28"/>
                              </w:rPr>
                              <w:t>Рисунок 1.16 – Вкладка «Показатели»</w:t>
                            </w:r>
                          </w:p>
                          <w:p>
                            <w:pPr>
                              <w:pStyle w:val="Normal"/>
                              <w:rPr>
                                <w:sz w:val="28"/>
                                <w:szCs w:val="28"/>
                              </w:rPr>
                            </w:pPr>
                            <w:r>
                              <w:rPr>
                                <w:sz w:val="28"/>
                                <w:szCs w:val="28"/>
                              </w:rPr>
                            </w:r>
                          </w:p>
                        </w:txbxContent>
                      </wps:txbx>
                      <wps:bodyPr anchor="t" lIns="91440" tIns="45720" rIns="91440" bIns="45720">
                        <a:noAutofit/>
                      </wps:bodyPr>
                    </wps:wsp>
                  </a:graphicData>
                </a:graphic>
              </wp:anchor>
            </w:drawing>
          </mc:Choice>
          <mc:Fallback>
            <w:pict>
              <v:rect fillcolor="#FFFFFF" strokecolor="#FFFFFF" strokeweight="0pt" style="position:absolute;rotation:0;width:469.55pt;height:88.4pt;mso-wrap-distance-left:9.05pt;mso-wrap-distance-right:9.05pt;mso-wrap-distance-top:0pt;mso-wrap-distance-bottom:0pt;margin-top:356.8pt;mso-position-vertical-relative:text;margin-left:-1.95pt;mso-position-horizontal-relative:text">
                <v:textbox>
                  <w:txbxContent>
                    <w:p>
                      <w:pPr>
                        <w:pStyle w:val="Normal"/>
                        <w:ind w:right="87" w:hanging="0"/>
                        <w:jc w:val="center"/>
                        <w:rPr/>
                      </w:pPr>
                      <w:r>
                        <w:rPr/>
                        <w:t>1 – инструмент выбора блока; 2 – кнопка «Графики»; 3 – геотехнологические показатели отработки блока на заданную степень извлечения; 4 – график движения запасов блока.</w:t>
                      </w:r>
                    </w:p>
                    <w:p>
                      <w:pPr>
                        <w:pStyle w:val="Normal"/>
                        <w:ind w:right="87" w:hanging="0"/>
                        <w:jc w:val="center"/>
                        <w:rPr>
                          <w:sz w:val="28"/>
                          <w:szCs w:val="28"/>
                        </w:rPr>
                      </w:pPr>
                      <w:r>
                        <w:rPr>
                          <w:sz w:val="28"/>
                          <w:szCs w:val="28"/>
                        </w:rPr>
                        <w:t>Рисунок 1.16 – Вкладка «Показатели»</w:t>
                      </w:r>
                    </w:p>
                    <w:p>
                      <w:pPr>
                        <w:pStyle w:val="Normal"/>
                        <w:rPr>
                          <w:sz w:val="28"/>
                          <w:szCs w:val="28"/>
                        </w:rPr>
                      </w:pPr>
                      <w:r>
                        <w:rPr>
                          <w:sz w:val="28"/>
                          <w:szCs w:val="28"/>
                        </w:rPr>
                      </w:r>
                    </w:p>
                  </w:txbxContent>
                </v:textbox>
                <w10:wrap type="none"/>
              </v:rect>
            </w:pict>
          </mc:Fallback>
        </mc:AlternateContent>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Normal"/>
        <w:spacing w:lineRule="auto" w:line="360"/>
        <w:jc w:val="both"/>
        <w:rPr>
          <w:sz w:val="28"/>
          <w:szCs w:val="28"/>
        </w:rPr>
      </w:pPr>
      <w:r>
        <w:rPr>
          <w:sz w:val="28"/>
          <w:szCs w:val="28"/>
        </w:rPr>
      </w:r>
    </w:p>
    <w:p>
      <w:pPr>
        <w:pStyle w:val="14"/>
        <w:rPr/>
      </w:pPr>
      <w:bookmarkStart w:id="120" w:name="__RefHeading___Toc530495744"/>
      <w:bookmarkEnd w:id="120"/>
      <w:r>
        <w:rPr/>
        <w:t>1.13  Формирование отчетной документации</w:t>
      </w:r>
    </w:p>
    <w:p>
      <w:pPr>
        <w:pStyle w:val="Normal"/>
        <w:spacing w:lineRule="auto" w:line="360"/>
        <w:ind w:firstLine="709"/>
        <w:jc w:val="both"/>
        <w:rPr/>
      </w:pPr>
      <w:r>
        <w:rPr>
          <w:sz w:val="28"/>
          <w:szCs w:val="28"/>
        </w:rPr>
        <w:t xml:space="preserve">Система проектирования позволяет для построенного проекта осуществлять формирование отчетного документа в формате </w:t>
      </w:r>
      <w:r>
        <w:rPr>
          <w:sz w:val="28"/>
          <w:szCs w:val="28"/>
          <w:lang w:val="en-US"/>
        </w:rPr>
        <w:t>Microsoft</w:t>
      </w:r>
      <w:r>
        <w:rPr>
          <w:sz w:val="28"/>
          <w:szCs w:val="28"/>
        </w:rPr>
        <w:t xml:space="preserve"> </w:t>
      </w:r>
      <w:r>
        <w:rPr>
          <w:sz w:val="28"/>
          <w:szCs w:val="28"/>
          <w:lang w:val="en-US"/>
        </w:rPr>
        <w:t>Word</w:t>
      </w:r>
      <w:r>
        <w:rPr>
          <w:sz w:val="28"/>
          <w:szCs w:val="28"/>
        </w:rPr>
        <w:t xml:space="preserve">. Формирование отчетного документа осуществляется на закладке «Отчет» </w:t>
      </w:r>
    </w:p>
    <w:p>
      <w:pPr>
        <w:pStyle w:val="Normal"/>
        <w:spacing w:lineRule="auto" w:line="360"/>
        <w:jc w:val="both"/>
        <w:rPr>
          <w:sz w:val="28"/>
          <w:szCs w:val="28"/>
        </w:rPr>
      </w:pPr>
      <w:r>
        <w:rPr>
          <w:sz w:val="28"/>
          <w:szCs w:val="28"/>
        </w:rPr>
        <w:t xml:space="preserve">Внешний вид закладки «Отчет» представлен на рисунке 1.17. Для формирования отчета по конкретному блоку необходимо выбрать интересующий блок с помощью инструмента 1 (рисунок 1.17). Далее производится выбор отображаемых графиков, таблиц и диаграмм. Выбор отображаемых таблиц осуществляется с помощью инструментов 2 (рисунок 1.17). Выбор выводимых графиков осуществляется с помощью инструментов 3 (рисунок 1.17). Выбор выводимых диаграмм осуществляется с помощью инструментов 4 (рисунок 1.17). Выбор выводимых карт осуществляется с помощью инструментов 5 (рисунок 1.17). После настройки отчета необходимо нажать на кнопку 6 (рисунок 1.17). В результате будет открыто окно текстового редактора </w:t>
      </w:r>
      <w:r>
        <w:rPr>
          <w:sz w:val="28"/>
          <w:szCs w:val="28"/>
          <w:lang w:val="en-US"/>
        </w:rPr>
        <w:t>Microsoft</w:t>
      </w:r>
      <w:r>
        <w:rPr>
          <w:sz w:val="28"/>
          <w:szCs w:val="28"/>
        </w:rPr>
        <w:t xml:space="preserve"> </w:t>
      </w:r>
      <w:r>
        <w:rPr>
          <w:sz w:val="28"/>
          <w:szCs w:val="28"/>
          <w:lang w:val="en-US"/>
        </w:rPr>
        <w:t>Word</w:t>
      </w:r>
      <w:r>
        <w:rPr>
          <w:sz w:val="28"/>
          <w:szCs w:val="28"/>
        </w:rPr>
        <w:t xml:space="preserve">, в котором будет сформирован отчетный документ. Сохранение проекта и его дальнейшее редактирование осуществляется с помощью текстового редактора. </w:t>
      </w:r>
      <w:r>
        <w:br w:type="page"/>
      </w:r>
    </w:p>
    <w:p>
      <w:pPr>
        <w:pStyle w:val="Normal"/>
        <w:spacing w:lineRule="auto" w:line="360"/>
        <w:jc w:val="both"/>
        <w:rPr>
          <w:b/>
          <w:b/>
          <w:sz w:val="28"/>
          <w:szCs w:val="28"/>
        </w:rPr>
      </w:pPr>
      <w:bookmarkStart w:id="121" w:name="_1604237302"/>
      <w:bookmarkStart w:id="122" w:name="_1540619445"/>
      <w:bookmarkEnd w:id="121"/>
      <w:bookmarkEnd w:id="122"/>
      <w:r>
        <w:rPr>
          <w:sz w:val="28"/>
          <w:szCs w:val="28"/>
        </w:rPr>
        <w:object w:dxaOrig="9720" w:dyaOrig="9252">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469.45pt;height:362.65pt" filled="f" o:ole="">
            <v:imagedata r:id="rId39" o:title=""/>
          </v:shape>
          <o:OLEObject Type="Embed" ProgID="" ShapeID="ole_rId38" DrawAspect="Content" ObjectID="_2114155830" r:id="rId38"/>
        </w:object>
      </w:r>
    </w:p>
    <w:p>
      <w:pPr>
        <w:pStyle w:val="Normal"/>
        <w:spacing w:lineRule="auto" w:line="360"/>
        <w:jc w:val="both"/>
        <w:rPr>
          <w:b/>
          <w:b/>
          <w:sz w:val="28"/>
          <w:szCs w:val="28"/>
          <w:lang w:val="ru-RU" w:eastAsia="ru-RU"/>
        </w:rPr>
      </w:pPr>
      <w:r>
        <w:rPr>
          <w:b/>
          <w:sz w:val="28"/>
          <w:szCs w:val="28"/>
          <w:lang w:val="ru-RU" w:eastAsia="ru-RU"/>
        </w:rPr>
      </w:r>
      <w:r>
        <mc:AlternateContent>
          <mc:Choice Requires="wps">
            <w:drawing>
              <wp:anchor behindDoc="0" distT="0" distB="0" distL="114935" distR="114935" simplePos="0" locked="0" layoutInCell="0" allowOverlap="1" relativeHeight="37">
                <wp:simplePos x="0" y="0"/>
                <wp:positionH relativeFrom="column">
                  <wp:posOffset>30480</wp:posOffset>
                </wp:positionH>
                <wp:positionV relativeFrom="paragraph">
                  <wp:posOffset>-342265</wp:posOffset>
                </wp:positionV>
                <wp:extent cx="5963285" cy="1148715"/>
                <wp:effectExtent l="0" t="0" r="0" b="0"/>
                <wp:wrapNone/>
                <wp:docPr id="22" name="Врезка18"/>
                <a:graphic xmlns:a="http://schemas.openxmlformats.org/drawingml/2006/main">
                  <a:graphicData uri="http://schemas.microsoft.com/office/word/2010/wordprocessingShape">
                    <wps:wsp>
                      <wps:cNvSpPr txBox="1"/>
                      <wps:spPr>
                        <a:xfrm>
                          <a:off x="0" y="0"/>
                          <a:ext cx="5963285" cy="1148715"/>
                        </a:xfrm>
                        <a:prstGeom prst="rect"/>
                        <a:solidFill>
                          <a:srgbClr val="FFFFFF"/>
                        </a:solidFill>
                        <a:ln w="9525">
                          <a:solidFill>
                            <a:srgbClr val="FFFFFF"/>
                          </a:solidFill>
                        </a:ln>
                      </wps:spPr>
                      <wps:txbx>
                        <w:txbxContent>
                          <w:p>
                            <w:pPr>
                              <w:pStyle w:val="Normal"/>
                              <w:ind w:right="87" w:hanging="0"/>
                              <w:jc w:val="center"/>
                              <w:rPr/>
                            </w:pPr>
                            <w:r>
                              <w:rPr/>
                              <w:t>1 – инструмент выбора блока; 2 – инструменты выбора отображаемых таблиц; 3 – инструменты выбора отображаемых графиков геотехнологических показателей; 4 – инструмент выбора отображаемых диаграмм; 5 –.инструмент выбора отображаемых карт; 6 – кнопка «Формирование отчета»; 7 – кнопка «Выбрать все»; 8 – кнопка «Сбросить все»</w:t>
                            </w:r>
                          </w:p>
                          <w:p>
                            <w:pPr>
                              <w:pStyle w:val="Normal"/>
                              <w:ind w:right="87" w:hanging="0"/>
                              <w:jc w:val="center"/>
                              <w:rPr>
                                <w:sz w:val="28"/>
                                <w:szCs w:val="28"/>
                              </w:rPr>
                            </w:pPr>
                            <w:r>
                              <w:rPr>
                                <w:sz w:val="28"/>
                                <w:szCs w:val="28"/>
                              </w:rPr>
                              <w:t>Рисунок 1.17 – Закладка «Отчет»</w:t>
                            </w:r>
                          </w:p>
                          <w:p>
                            <w:pPr>
                              <w:pStyle w:val="Normal"/>
                              <w:rPr>
                                <w:sz w:val="28"/>
                                <w:szCs w:val="28"/>
                              </w:rPr>
                            </w:pPr>
                            <w:r>
                              <w:rPr>
                                <w:sz w:val="28"/>
                                <w:szCs w:val="28"/>
                              </w:rPr>
                            </w:r>
                          </w:p>
                          <w:p>
                            <w:pPr>
                              <w:pStyle w:val="Normal"/>
                              <w:rPr/>
                            </w:pPr>
                            <w:r>
                              <w:rPr/>
                            </w:r>
                          </w:p>
                        </w:txbxContent>
                      </wps:txbx>
                      <wps:bodyPr anchor="t" lIns="91440" tIns="45720" rIns="91440" bIns="45720">
                        <a:noAutofit/>
                      </wps:bodyPr>
                    </wps:wsp>
                  </a:graphicData>
                </a:graphic>
              </wp:anchor>
            </w:drawing>
          </mc:Choice>
          <mc:Fallback>
            <w:pict>
              <v:rect fillcolor="#FFFFFF" strokecolor="#FFFFFF" strokeweight="0pt" style="position:absolute;rotation:0;width:469.55pt;height:90.45pt;mso-wrap-distance-left:9.05pt;mso-wrap-distance-right:9.05pt;mso-wrap-distance-top:0pt;mso-wrap-distance-bottom:0pt;margin-top:-26.95pt;mso-position-vertical-relative:text;margin-left:2.4pt;mso-position-horizontal-relative:text">
                <v:textbox>
                  <w:txbxContent>
                    <w:p>
                      <w:pPr>
                        <w:pStyle w:val="Normal"/>
                        <w:ind w:right="87" w:hanging="0"/>
                        <w:jc w:val="center"/>
                        <w:rPr/>
                      </w:pPr>
                      <w:r>
                        <w:rPr/>
                        <w:t>1 – инструмент выбора блока; 2 – инструменты выбора отображаемых таблиц; 3 – инструменты выбора отображаемых графиков геотехнологических показателей; 4 – инструмент выбора отображаемых диаграмм; 5 –.инструмент выбора отображаемых карт; 6 – кнопка «Формирование отчета»; 7 – кнопка «Выбрать все»; 8 – кнопка «Сбросить все»</w:t>
                      </w:r>
                    </w:p>
                    <w:p>
                      <w:pPr>
                        <w:pStyle w:val="Normal"/>
                        <w:ind w:right="87" w:hanging="0"/>
                        <w:jc w:val="center"/>
                        <w:rPr>
                          <w:sz w:val="28"/>
                          <w:szCs w:val="28"/>
                        </w:rPr>
                      </w:pPr>
                      <w:r>
                        <w:rPr>
                          <w:sz w:val="28"/>
                          <w:szCs w:val="28"/>
                        </w:rPr>
                        <w:t>Рисунок 1.17 – Закладка «Отчет»</w:t>
                      </w:r>
                    </w:p>
                    <w:p>
                      <w:pPr>
                        <w:pStyle w:val="Normal"/>
                        <w:rPr>
                          <w:sz w:val="28"/>
                          <w:szCs w:val="28"/>
                        </w:rPr>
                      </w:pPr>
                      <w:r>
                        <w:rPr>
                          <w:sz w:val="28"/>
                          <w:szCs w:val="28"/>
                        </w:rPr>
                      </w:r>
                    </w:p>
                    <w:p>
                      <w:pPr>
                        <w:pStyle w:val="Normal"/>
                        <w:rPr/>
                      </w:pPr>
                      <w:r>
                        <w:rPr/>
                      </w:r>
                    </w:p>
                  </w:txbxContent>
                </v:textbox>
                <w10:wrap type="none"/>
              </v:rect>
            </w:pict>
          </mc:Fallback>
        </mc:AlternateContent>
      </w:r>
    </w:p>
    <w:p>
      <w:pPr>
        <w:pStyle w:val="Normal"/>
        <w:spacing w:lineRule="auto" w:line="360"/>
        <w:jc w:val="both"/>
        <w:rPr>
          <w:b/>
          <w:b/>
          <w:sz w:val="28"/>
          <w:szCs w:val="28"/>
          <w:lang w:val="ru-RU" w:eastAsia="ru-RU"/>
        </w:rPr>
      </w:pPr>
      <w:r>
        <w:rPr>
          <w:b/>
          <w:sz w:val="28"/>
          <w:szCs w:val="28"/>
          <w:lang w:val="ru-RU" w:eastAsia="ru-RU"/>
        </w:rPr>
      </w:r>
    </w:p>
    <w:p>
      <w:pPr>
        <w:pStyle w:val="Normal"/>
        <w:spacing w:lineRule="auto" w:line="360"/>
        <w:jc w:val="both"/>
        <w:rPr>
          <w:sz w:val="28"/>
          <w:szCs w:val="28"/>
        </w:rPr>
      </w:pPr>
      <w:r>
        <w:rPr>
          <w:sz w:val="28"/>
          <w:szCs w:val="28"/>
        </w:rPr>
      </w:r>
    </w:p>
    <w:sectPr>
      <w:footerReference w:type="default" r:id="rId40"/>
      <w:type w:val="nextPage"/>
      <w:pgSz w:w="11906" w:h="16838"/>
      <w:pgMar w:left="1701" w:right="851" w:gutter="0" w:header="0" w:top="1134" w:footer="709" w:bottom="1134"/>
      <w:pgNumType w:start="2"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PT Astra Serif">
    <w:charset w:val="01"/>
    <w:family w:val="roman"/>
    <w:pitch w:val="default"/>
  </w:font>
  <w:font w:name="Times New Roman">
    <w:charset w:val="cc"/>
    <w:family w:val="roman"/>
    <w:pitch w:val="variable"/>
  </w:font>
  <w:font w:name="Cambria">
    <w:charset w:val="cc"/>
    <w:family w:val="roman"/>
    <w:pitch w:val="variable"/>
  </w:font>
  <w:font w:name="Courier New">
    <w:charset w:val="cc"/>
    <w:family w:val="modern"/>
    <w:pitch w:val="default"/>
  </w:font>
  <w:font w:name="Wingdings">
    <w:charset w:val="02"/>
    <w:family w:val="auto"/>
    <w:pitch w:val="variable"/>
  </w:font>
  <w:font w:name="Tahoma">
    <w:charset w:val="cc"/>
    <w:family w:val="swiss"/>
    <w:pitch w:val="variable"/>
  </w:font>
  <w:font w:name="Calibri">
    <w:charset w:val="cc"/>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5"/>
      <w:jc w:val="cen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5"/>
      <w:jc w:val="center"/>
      <w:rPr/>
    </w:pPr>
    <w:r>
      <w:rPr/>
      <w:fldChar w:fldCharType="begin"/>
    </w:r>
    <w:r>
      <w:rPr/>
      <w:instrText> PAGE </w:instrText>
    </w:r>
    <w:r>
      <w:rPr/>
      <w:fldChar w:fldCharType="separate"/>
    </w:r>
    <w:r>
      <w:rPr/>
      <w:t>26</w:t>
    </w:r>
    <w:r>
      <w:rPr/>
      <w:fldChar w:fldCharType="end"/>
    </w:r>
  </w:p>
  <w:p>
    <w:pPr>
      <w:pStyle w:val="Style25"/>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PT Astra Serif" w:hAnsi="PT Astra Serif" w:eastAsia="Tahoma" w:cs="Noto Sans Devanagari"/>
        <w:sz w:val="24"/>
        <w:szCs w:val="24"/>
        <w:lang w:val="ru-RU"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paragraph" w:styleId="1">
    <w:name w:val="Heading 1"/>
    <w:basedOn w:val="Normal"/>
    <w:next w:val="Normal"/>
    <w:qFormat/>
    <w:pPr>
      <w:keepNext w:val="true"/>
      <w:numPr>
        <w:ilvl w:val="0"/>
        <w:numId w:val="1"/>
      </w:numPr>
      <w:spacing w:before="240" w:after="60"/>
      <w:outlineLvl w:val="0"/>
    </w:pPr>
    <w:rPr>
      <w:rFonts w:ascii="Cambria" w:hAnsi="Cambria" w:eastAsia="Times New Roman" w:cs="Times New Roman"/>
      <w:b/>
      <w:bCs/>
      <w:kern w:val="2"/>
      <w:sz w:val="32"/>
      <w:szCs w:val="32"/>
    </w:rPr>
  </w:style>
  <w:style w:type="character" w:styleId="WW8Num1z0">
    <w:name w:val="WW8Num1z0"/>
    <w:qFormat/>
    <w:rPr/>
  </w:style>
  <w:style w:type="character" w:styleId="WW8Num2z0">
    <w:name w:val="WW8Num2z0"/>
    <w:qFormat/>
    <w:rPr/>
  </w:style>
  <w:style w:type="character" w:styleId="WW8Num3z0">
    <w:name w:val="WW8Num3z0"/>
    <w:qFormat/>
    <w:rPr/>
  </w:style>
  <w:style w:type="character" w:styleId="WW8Num4z0">
    <w:name w:val="WW8Num4z0"/>
    <w:qFormat/>
    <w:rPr/>
  </w:style>
  <w:style w:type="character" w:styleId="WW8Num5z0">
    <w:name w:val="WW8Num5z0"/>
    <w:qFormat/>
    <w:rPr/>
  </w:style>
  <w:style w:type="character" w:styleId="WW8Num6z0">
    <w:name w:val="WW8Num6z0"/>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9z0">
    <w:name w:val="WW8Num9z0"/>
    <w:qFormat/>
    <w:rPr>
      <w:rFonts w:ascii="Symbol" w:hAnsi="Symbol" w:cs="Symbol"/>
    </w:rPr>
  </w:style>
  <w:style w:type="character" w:styleId="WW8Num9z1">
    <w:name w:val="WW8Num9z1"/>
    <w:qFormat/>
    <w:rPr>
      <w:rFonts w:ascii="Courier New" w:hAnsi="Courier New" w:cs="Courier New"/>
    </w:rPr>
  </w:style>
  <w:style w:type="character" w:styleId="WW8Num9z2">
    <w:name w:val="WW8Num9z2"/>
    <w:qFormat/>
    <w:rPr>
      <w:rFonts w:ascii="Wingdings" w:hAnsi="Wingdings" w:cs="Wingdings"/>
    </w:rPr>
  </w:style>
  <w:style w:type="character" w:styleId="WW8Num10z0">
    <w:name w:val="WW8Num10z0"/>
    <w:qFormat/>
    <w:rPr/>
  </w:style>
  <w:style w:type="character" w:styleId="WW8Num11z0">
    <w:name w:val="WW8Num11z0"/>
    <w:qFormat/>
    <w:rPr/>
  </w:style>
  <w:style w:type="character" w:styleId="WW8Num12z0">
    <w:name w:val="WW8Num12z0"/>
    <w:qFormat/>
    <w:rPr/>
  </w:style>
  <w:style w:type="character" w:styleId="WW8Num13z0">
    <w:name w:val="WW8Num13z0"/>
    <w:qFormat/>
    <w:rPr/>
  </w:style>
  <w:style w:type="character" w:styleId="WW8Num14z0">
    <w:name w:val="WW8Num14z0"/>
    <w:qFormat/>
    <w:rPr/>
  </w:style>
  <w:style w:type="character" w:styleId="WW8Num15z0">
    <w:name w:val="WW8Num15z0"/>
    <w:qFormat/>
    <w:rPr/>
  </w:style>
  <w:style w:type="character" w:styleId="Style13">
    <w:name w:val="Основной шрифт абзаца"/>
    <w:qFormat/>
    <w:rPr/>
  </w:style>
  <w:style w:type="character" w:styleId="Style14">
    <w:name w:val="Номер страницы"/>
    <w:basedOn w:val="Style13"/>
    <w:rPr/>
  </w:style>
  <w:style w:type="character" w:styleId="Style15">
    <w:name w:val="Текст выноски Знак"/>
    <w:qFormat/>
    <w:rPr>
      <w:rFonts w:ascii="Tahoma" w:hAnsi="Tahoma" w:cs="Tahoma"/>
      <w:sz w:val="16"/>
      <w:szCs w:val="16"/>
    </w:rPr>
  </w:style>
  <w:style w:type="character" w:styleId="Style16">
    <w:name w:val="Нижний колонтитул Знак"/>
    <w:qFormat/>
    <w:rPr>
      <w:sz w:val="24"/>
      <w:szCs w:val="24"/>
    </w:rPr>
  </w:style>
  <w:style w:type="character" w:styleId="Style17">
    <w:name w:val="Интернет-ссылка"/>
    <w:rPr>
      <w:color w:val="0000FF"/>
      <w:u w:val="single"/>
    </w:rPr>
  </w:style>
  <w:style w:type="character" w:styleId="11">
    <w:name w:val="Заголовок 1 Знак"/>
    <w:qFormat/>
    <w:rPr>
      <w:rFonts w:ascii="Cambria" w:hAnsi="Cambria" w:eastAsia="Times New Roman" w:cs="Times New Roman"/>
      <w:b/>
      <w:bCs/>
      <w:kern w:val="2"/>
      <w:sz w:val="32"/>
      <w:szCs w:val="32"/>
    </w:rPr>
  </w:style>
  <w:style w:type="character" w:styleId="Style18">
    <w:name w:val="Подзаголовок Знак"/>
    <w:qFormat/>
    <w:rPr>
      <w:rFonts w:ascii="Cambria" w:hAnsi="Cambria" w:eastAsia="Times New Roman" w:cs="Times New Roman"/>
      <w:sz w:val="24"/>
      <w:szCs w:val="24"/>
    </w:rPr>
  </w:style>
  <w:style w:type="character" w:styleId="2">
    <w:name w:val="Подзаголовок2 Знак"/>
    <w:qFormat/>
    <w:rPr>
      <w:rFonts w:ascii="Cambria" w:hAnsi="Cambria" w:eastAsia="Times New Roman" w:cs="Times New Roman"/>
      <w:sz w:val="28"/>
      <w:szCs w:val="28"/>
    </w:rPr>
  </w:style>
  <w:style w:type="character" w:styleId="12">
    <w:name w:val="1 Знак"/>
    <w:basedOn w:val="2"/>
    <w:qFormat/>
    <w:rPr/>
  </w:style>
  <w:style w:type="paragraph" w:styleId="Style19">
    <w:name w:val="Заголовок"/>
    <w:basedOn w:val="Normal"/>
    <w:next w:val="Style20"/>
    <w:qFormat/>
    <w:pPr>
      <w:keepNext w:val="true"/>
      <w:spacing w:before="240" w:after="120"/>
    </w:pPr>
    <w:rPr>
      <w:rFonts w:ascii="PT Astra Serif" w:hAnsi="PT Astra Serif" w:eastAsia="Tahoma" w:cs="Noto Sans Devanagari"/>
      <w:sz w:val="28"/>
      <w:szCs w:val="28"/>
    </w:rPr>
  </w:style>
  <w:style w:type="paragraph" w:styleId="Style20">
    <w:name w:val="Body Text"/>
    <w:basedOn w:val="Normal"/>
    <w:pPr>
      <w:spacing w:lineRule="auto" w:line="276" w:before="0" w:after="140"/>
    </w:pPr>
    <w:rPr/>
  </w:style>
  <w:style w:type="paragraph" w:styleId="Style21">
    <w:name w:val="List"/>
    <w:basedOn w:val="Style20"/>
    <w:pPr/>
    <w:rPr>
      <w:rFonts w:ascii="PT Astra Serif" w:hAnsi="PT Astra Serif" w:cs="Noto Sans Devanagari"/>
    </w:rPr>
  </w:style>
  <w:style w:type="paragraph" w:styleId="Style22">
    <w:name w:val="Caption"/>
    <w:basedOn w:val="Normal"/>
    <w:qFormat/>
    <w:pPr>
      <w:suppressLineNumbers/>
      <w:spacing w:before="120" w:after="120"/>
    </w:pPr>
    <w:rPr>
      <w:rFonts w:ascii="PT Astra Serif" w:hAnsi="PT Astra Serif" w:cs="Noto Sans Devanagari"/>
      <w:i/>
      <w:iCs/>
      <w:sz w:val="24"/>
      <w:szCs w:val="24"/>
    </w:rPr>
  </w:style>
  <w:style w:type="paragraph" w:styleId="Style23">
    <w:name w:val="Указатель"/>
    <w:basedOn w:val="Normal"/>
    <w:qFormat/>
    <w:pPr>
      <w:suppressLineNumbers/>
    </w:pPr>
    <w:rPr>
      <w:rFonts w:ascii="PT Astra Serif" w:hAnsi="PT Astra Serif" w:cs="Noto Sans Devanagari"/>
      <w:lang w:val="zxx" w:eastAsia="zxx" w:bidi="zxx"/>
    </w:rPr>
  </w:style>
  <w:style w:type="paragraph" w:styleId="Style24">
    <w:name w:val="Колонтитул"/>
    <w:basedOn w:val="Normal"/>
    <w:qFormat/>
    <w:pPr>
      <w:suppressLineNumbers/>
      <w:tabs>
        <w:tab w:val="clear" w:pos="708"/>
        <w:tab w:val="center" w:pos="4819" w:leader="none"/>
        <w:tab w:val="right" w:pos="9638" w:leader="none"/>
      </w:tabs>
    </w:pPr>
    <w:rPr/>
  </w:style>
  <w:style w:type="paragraph" w:styleId="Style25">
    <w:name w:val="Footer"/>
    <w:basedOn w:val="Normal"/>
    <w:pPr>
      <w:tabs>
        <w:tab w:val="clear" w:pos="708"/>
        <w:tab w:val="center" w:pos="4677" w:leader="none"/>
        <w:tab w:val="right" w:pos="9355" w:leader="none"/>
      </w:tabs>
    </w:pPr>
    <w:rPr>
      <w:lang w:val="ru-RU"/>
    </w:rPr>
  </w:style>
  <w:style w:type="paragraph" w:styleId="Style26">
    <w:name w:val="Header"/>
    <w:basedOn w:val="Normal"/>
    <w:pPr>
      <w:tabs>
        <w:tab w:val="clear" w:pos="708"/>
        <w:tab w:val="center" w:pos="4677" w:leader="none"/>
        <w:tab w:val="right" w:pos="9355" w:leader="none"/>
      </w:tabs>
    </w:pPr>
    <w:rPr/>
  </w:style>
  <w:style w:type="paragraph" w:styleId="Style27">
    <w:name w:val="Текст выноски"/>
    <w:basedOn w:val="Normal"/>
    <w:qFormat/>
    <w:pPr/>
    <w:rPr>
      <w:rFonts w:ascii="Tahoma" w:hAnsi="Tahoma" w:cs="Tahoma"/>
      <w:sz w:val="16"/>
      <w:szCs w:val="16"/>
      <w:lang w:val="ru-RU"/>
    </w:rPr>
  </w:style>
  <w:style w:type="paragraph" w:styleId="Style28">
    <w:name w:val="Абзац списка"/>
    <w:basedOn w:val="Normal"/>
    <w:qFormat/>
    <w:pPr>
      <w:ind w:left="708" w:hanging="0"/>
    </w:pPr>
    <w:rPr/>
  </w:style>
  <w:style w:type="paragraph" w:styleId="13">
    <w:name w:val="TOC 1"/>
    <w:basedOn w:val="Normal"/>
    <w:next w:val="Normal"/>
    <w:pPr>
      <w:tabs>
        <w:tab w:val="clear" w:pos="708"/>
        <w:tab w:val="right" w:pos="9356" w:leader="dot"/>
      </w:tabs>
      <w:spacing w:lineRule="auto" w:line="360"/>
    </w:pPr>
    <w:rPr/>
  </w:style>
  <w:style w:type="paragraph" w:styleId="21">
    <w:name w:val="TOC 2"/>
    <w:basedOn w:val="Normal"/>
    <w:next w:val="Normal"/>
    <w:pPr>
      <w:tabs>
        <w:tab w:val="clear" w:pos="708"/>
        <w:tab w:val="right" w:pos="9356" w:leader="dot"/>
      </w:tabs>
      <w:spacing w:lineRule="auto" w:line="360"/>
    </w:pPr>
    <w:rPr/>
  </w:style>
  <w:style w:type="paragraph" w:styleId="Style29">
    <w:name w:val="Subtitle"/>
    <w:basedOn w:val="Normal"/>
    <w:next w:val="Normal"/>
    <w:qFormat/>
    <w:pPr>
      <w:spacing w:before="0" w:after="60"/>
      <w:jc w:val="center"/>
      <w:outlineLvl w:val="1"/>
    </w:pPr>
    <w:rPr>
      <w:rFonts w:ascii="Cambria" w:hAnsi="Cambria" w:eastAsia="Times New Roman" w:cs="Times New Roman"/>
    </w:rPr>
  </w:style>
  <w:style w:type="paragraph" w:styleId="22">
    <w:name w:val="Подзаголовок2"/>
    <w:basedOn w:val="Style29"/>
    <w:qFormat/>
    <w:pPr>
      <w:jc w:val="left"/>
    </w:pPr>
    <w:rPr>
      <w:rFonts w:ascii="Times New Roman" w:hAnsi="Times New Roman" w:eastAsia="Times New Roman" w:cs="Times New Roman"/>
      <w:sz w:val="28"/>
      <w:szCs w:val="28"/>
    </w:rPr>
  </w:style>
  <w:style w:type="paragraph" w:styleId="14">
    <w:name w:val="1"/>
    <w:basedOn w:val="22"/>
    <w:qFormat/>
    <w:pPr>
      <w:spacing w:lineRule="auto" w:line="360"/>
    </w:pPr>
    <w:rPr/>
  </w:style>
  <w:style w:type="paragraph" w:styleId="Style30">
    <w:name w:val="Содержимое врезки"/>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oleObject" Target="embeddings/oleObject1.bin"/><Relationship Id="rId4" Type="http://schemas.openxmlformats.org/officeDocument/2006/relationships/image" Target="media/image1.wmf"/><Relationship Id="rId5" Type="http://schemas.openxmlformats.org/officeDocument/2006/relationships/oleObject" Target="embeddings/oleObject2.bin"/><Relationship Id="rId6" Type="http://schemas.openxmlformats.org/officeDocument/2006/relationships/image" Target="media/image2.wmf"/><Relationship Id="rId7" Type="http://schemas.openxmlformats.org/officeDocument/2006/relationships/oleObject" Target="embeddings/oleObject3.bin"/><Relationship Id="rId8" Type="http://schemas.openxmlformats.org/officeDocument/2006/relationships/image" Target="media/image3.wmf"/><Relationship Id="rId9" Type="http://schemas.openxmlformats.org/officeDocument/2006/relationships/oleObject" Target="embeddings/oleObject4.bin"/><Relationship Id="rId10" Type="http://schemas.openxmlformats.org/officeDocument/2006/relationships/image" Target="media/image4.wmf"/><Relationship Id="rId11" Type="http://schemas.openxmlformats.org/officeDocument/2006/relationships/oleObject" Target="embeddings/oleObject5.bin"/><Relationship Id="rId12" Type="http://schemas.openxmlformats.org/officeDocument/2006/relationships/image" Target="media/image5.wmf"/><Relationship Id="rId13" Type="http://schemas.openxmlformats.org/officeDocument/2006/relationships/oleObject" Target="embeddings/oleObject6.bin"/><Relationship Id="rId14" Type="http://schemas.openxmlformats.org/officeDocument/2006/relationships/image" Target="media/image6.wmf"/><Relationship Id="rId15" Type="http://schemas.openxmlformats.org/officeDocument/2006/relationships/oleObject" Target="embeddings/oleObject7.bin"/><Relationship Id="rId16" Type="http://schemas.openxmlformats.org/officeDocument/2006/relationships/image" Target="media/image7.wmf"/><Relationship Id="rId17" Type="http://schemas.openxmlformats.org/officeDocument/2006/relationships/oleObject" Target="embeddings/oleObject8.bin"/><Relationship Id="rId18" Type="http://schemas.openxmlformats.org/officeDocument/2006/relationships/image" Target="media/image8.wmf"/><Relationship Id="rId19" Type="http://schemas.openxmlformats.org/officeDocument/2006/relationships/oleObject" Target="embeddings/oleObject9.bin"/><Relationship Id="rId20" Type="http://schemas.openxmlformats.org/officeDocument/2006/relationships/image" Target="media/image9.wmf"/><Relationship Id="rId21" Type="http://schemas.openxmlformats.org/officeDocument/2006/relationships/image" Target="media/image10.png"/><Relationship Id="rId22" Type="http://schemas.openxmlformats.org/officeDocument/2006/relationships/oleObject" Target="embeddings/oleObject10.bin"/><Relationship Id="rId23" Type="http://schemas.openxmlformats.org/officeDocument/2006/relationships/image" Target="media/image11.wmf"/><Relationship Id="rId24" Type="http://schemas.openxmlformats.org/officeDocument/2006/relationships/oleObject" Target="embeddings/oleObject11.bin"/><Relationship Id="rId25" Type="http://schemas.openxmlformats.org/officeDocument/2006/relationships/image" Target="media/image12.wmf"/><Relationship Id="rId26" Type="http://schemas.openxmlformats.org/officeDocument/2006/relationships/oleObject" Target="embeddings/oleObject12.bin"/><Relationship Id="rId27" Type="http://schemas.openxmlformats.org/officeDocument/2006/relationships/image" Target="media/image13.wmf"/><Relationship Id="rId28" Type="http://schemas.openxmlformats.org/officeDocument/2006/relationships/oleObject" Target="embeddings/oleObject13.bin"/><Relationship Id="rId29" Type="http://schemas.openxmlformats.org/officeDocument/2006/relationships/image" Target="media/image14.wmf"/><Relationship Id="rId30" Type="http://schemas.openxmlformats.org/officeDocument/2006/relationships/oleObject" Target="embeddings/oleObject14.bin"/><Relationship Id="rId31" Type="http://schemas.openxmlformats.org/officeDocument/2006/relationships/image" Target="media/image15.wmf"/><Relationship Id="rId32" Type="http://schemas.openxmlformats.org/officeDocument/2006/relationships/oleObject" Target="embeddings/oleObject15.bin"/><Relationship Id="rId33" Type="http://schemas.openxmlformats.org/officeDocument/2006/relationships/image" Target="media/image16.wmf"/><Relationship Id="rId34" Type="http://schemas.openxmlformats.org/officeDocument/2006/relationships/oleObject" Target="embeddings/oleObject16.bin"/><Relationship Id="rId35" Type="http://schemas.openxmlformats.org/officeDocument/2006/relationships/image" Target="media/image17.wmf"/><Relationship Id="rId36" Type="http://schemas.openxmlformats.org/officeDocument/2006/relationships/oleObject" Target="embeddings/oleObject17.bin"/><Relationship Id="rId37" Type="http://schemas.openxmlformats.org/officeDocument/2006/relationships/image" Target="media/image18.wmf"/><Relationship Id="rId38" Type="http://schemas.openxmlformats.org/officeDocument/2006/relationships/oleObject" Target="embeddings/oleObject18.bin"/><Relationship Id="rId39" Type="http://schemas.openxmlformats.org/officeDocument/2006/relationships/image" Target="media/image19.wmf"/><Relationship Id="rId40" Type="http://schemas.openxmlformats.org/officeDocument/2006/relationships/footer" Target="footer2.xml"/><Relationship Id="rId41" Type="http://schemas.openxmlformats.org/officeDocument/2006/relationships/numbering" Target="numbering.xml"/><Relationship Id="rId42" Type="http://schemas.openxmlformats.org/officeDocument/2006/relationships/fontTable" Target="fontTable.xml"/><Relationship Id="rId4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Normal_x0000_</Template>
  <TotalTime>3</TotalTime>
  <Application>LibreOffice/7.2.7.2$Linux_X86_64 LibreOffice_project/20$Build-2</Application>
  <AppVersion>15.0000</AppVersion>
  <Pages>26</Pages>
  <Words>3780</Words>
  <Characters>27172</Characters>
  <CharactersWithSpaces>31074</CharactersWithSpaces>
  <Paragraphs>132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2018-11-20T18:47:00Z</dcterms:created>
  <dc:creator>vistum</dc:creator>
  <dc:description/>
  <cp:keywords> </cp:keywords>
  <dc:language>ru-RU</dc:language>
  <cp:lastModifiedBy>vistum</cp:lastModifiedBy>
  <dcterms:modified xsi:type="dcterms:W3CDTF">2023-12-15T12:45:00Z</dcterms:modified>
  <cp:revision>5</cp:revision>
  <dc:subject/>
  <dc:title>1 Руководство пользователя</dc:title>
</cp:coreProperties>
</file>